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F173" w14:textId="77777777" w:rsidR="009C15B1" w:rsidRDefault="009C15B1" w:rsidP="00DF1F0E"/>
    <w:p w14:paraId="70A388C3" w14:textId="77777777" w:rsidR="00DF1F0E" w:rsidRDefault="00DF1F0E" w:rsidP="00DF1F0E"/>
    <w:p w14:paraId="4CC2A5B0" w14:textId="77777777" w:rsidR="00DF1F0E" w:rsidRDefault="00DF1F0E" w:rsidP="00DF1F0E"/>
    <w:p w14:paraId="625B2CB9" w14:textId="77777777" w:rsidR="00DF1F0E" w:rsidRDefault="00DF1F0E" w:rsidP="00DF1F0E"/>
    <w:p w14:paraId="5ECFA29A" w14:textId="77777777" w:rsidR="00DF1F0E" w:rsidRDefault="00DF1F0E" w:rsidP="00DF1F0E"/>
    <w:p w14:paraId="5E9DCF47" w14:textId="77777777" w:rsidR="00DF1F0E" w:rsidRPr="009B2ADB" w:rsidRDefault="00DF1F0E" w:rsidP="00DF1F0E">
      <w:pPr>
        <w:jc w:val="center"/>
        <w:rPr>
          <w:b/>
          <w:sz w:val="56"/>
          <w:szCs w:val="56"/>
        </w:rPr>
      </w:pPr>
      <w:r w:rsidRPr="009B2ADB">
        <w:rPr>
          <w:b/>
          <w:sz w:val="56"/>
          <w:szCs w:val="56"/>
        </w:rPr>
        <w:t>Omega Capital Management, LLC.</w:t>
      </w:r>
    </w:p>
    <w:p w14:paraId="6725AEC2" w14:textId="77777777" w:rsidR="00DF1F0E" w:rsidRDefault="00DF1F0E" w:rsidP="00DF1F0E">
      <w:pPr>
        <w:jc w:val="center"/>
        <w:rPr>
          <w:sz w:val="28"/>
          <w:szCs w:val="28"/>
        </w:rPr>
      </w:pPr>
      <w:r w:rsidRPr="00DF1F0E">
        <w:rPr>
          <w:sz w:val="28"/>
          <w:szCs w:val="28"/>
        </w:rPr>
        <w:t>Fee-Only Investment Advisor</w:t>
      </w:r>
      <w:r w:rsidR="009B2ADB">
        <w:rPr>
          <w:sz w:val="28"/>
          <w:szCs w:val="28"/>
        </w:rPr>
        <w:t>y Services</w:t>
      </w:r>
      <w:r w:rsidRPr="00DF1F0E">
        <w:rPr>
          <w:sz w:val="28"/>
          <w:szCs w:val="28"/>
        </w:rPr>
        <w:t xml:space="preserve"> and Financial Planning</w:t>
      </w:r>
    </w:p>
    <w:p w14:paraId="2BAE2BC2" w14:textId="301933E4" w:rsidR="000C1B4A" w:rsidRDefault="000C1B4A" w:rsidP="00DF1F0E">
      <w:pPr>
        <w:jc w:val="center"/>
        <w:rPr>
          <w:sz w:val="28"/>
          <w:szCs w:val="28"/>
        </w:rPr>
      </w:pPr>
    </w:p>
    <w:p w14:paraId="51E888BF" w14:textId="60D2D5D6" w:rsidR="00A31A12" w:rsidRDefault="00A31A12" w:rsidP="00DF1F0E">
      <w:pPr>
        <w:jc w:val="center"/>
        <w:rPr>
          <w:sz w:val="28"/>
          <w:szCs w:val="28"/>
        </w:rPr>
      </w:pPr>
    </w:p>
    <w:p w14:paraId="53D17ECD" w14:textId="77777777" w:rsidR="00DF1F0E" w:rsidRDefault="00DF1F0E" w:rsidP="00DF1F0E">
      <w:pPr>
        <w:jc w:val="center"/>
        <w:rPr>
          <w:sz w:val="28"/>
          <w:szCs w:val="28"/>
        </w:rPr>
      </w:pPr>
      <w:r>
        <w:rPr>
          <w:sz w:val="28"/>
          <w:szCs w:val="28"/>
        </w:rPr>
        <w:t>95 West Main Street</w:t>
      </w:r>
    </w:p>
    <w:p w14:paraId="26FA69B2" w14:textId="77777777" w:rsidR="00DF1F0E" w:rsidRDefault="00DF1F0E" w:rsidP="00DF1F0E">
      <w:pPr>
        <w:jc w:val="center"/>
        <w:rPr>
          <w:sz w:val="28"/>
          <w:szCs w:val="28"/>
        </w:rPr>
      </w:pPr>
      <w:r>
        <w:rPr>
          <w:sz w:val="28"/>
          <w:szCs w:val="28"/>
        </w:rPr>
        <w:t>Suite 5315</w:t>
      </w:r>
    </w:p>
    <w:p w14:paraId="6FB5A8BA" w14:textId="77777777" w:rsidR="000C1B4A" w:rsidRDefault="004F6C2A" w:rsidP="00DF1F0E">
      <w:pPr>
        <w:jc w:val="center"/>
        <w:rPr>
          <w:sz w:val="28"/>
          <w:szCs w:val="28"/>
        </w:rPr>
      </w:pPr>
      <w:r>
        <w:rPr>
          <w:sz w:val="28"/>
          <w:szCs w:val="28"/>
        </w:rPr>
        <w:t>Chester,</w:t>
      </w:r>
      <w:r w:rsidR="00DF1F0E">
        <w:rPr>
          <w:sz w:val="28"/>
          <w:szCs w:val="28"/>
        </w:rPr>
        <w:t xml:space="preserve"> NJ 07930</w:t>
      </w:r>
    </w:p>
    <w:p w14:paraId="2716EA52" w14:textId="77777777" w:rsidR="000C1B4A" w:rsidRPr="000C1B4A" w:rsidRDefault="00000000" w:rsidP="000C1B4A">
      <w:pPr>
        <w:jc w:val="center"/>
        <w:rPr>
          <w:b/>
          <w:sz w:val="28"/>
          <w:szCs w:val="28"/>
        </w:rPr>
      </w:pPr>
      <w:hyperlink r:id="rId11" w:history="1">
        <w:r w:rsidR="000C1B4A" w:rsidRPr="000C1B4A">
          <w:rPr>
            <w:rStyle w:val="Hyperlink"/>
            <w:b/>
            <w:color w:val="auto"/>
            <w:sz w:val="28"/>
            <w:szCs w:val="28"/>
          </w:rPr>
          <w:t>www.omegacap.com</w:t>
        </w:r>
      </w:hyperlink>
    </w:p>
    <w:p w14:paraId="35282448" w14:textId="77777777" w:rsidR="000C1B4A" w:rsidRDefault="000C1B4A" w:rsidP="00DF1F0E">
      <w:pPr>
        <w:jc w:val="center"/>
        <w:rPr>
          <w:sz w:val="28"/>
          <w:szCs w:val="28"/>
        </w:rPr>
      </w:pPr>
    </w:p>
    <w:p w14:paraId="6004A57D" w14:textId="77777777" w:rsidR="00B62CFF" w:rsidRDefault="00B62CFF" w:rsidP="00DF1F0E">
      <w:pPr>
        <w:jc w:val="center"/>
        <w:rPr>
          <w:sz w:val="28"/>
          <w:szCs w:val="28"/>
        </w:rPr>
      </w:pPr>
    </w:p>
    <w:p w14:paraId="2C810231" w14:textId="77777777" w:rsidR="00B62CFF" w:rsidRPr="00DF1F0E" w:rsidRDefault="00B62CFF" w:rsidP="00B62CFF">
      <w:pPr>
        <w:jc w:val="center"/>
        <w:rPr>
          <w:b/>
          <w:sz w:val="36"/>
          <w:szCs w:val="36"/>
        </w:rPr>
      </w:pPr>
      <w:r w:rsidRPr="00DF1F0E">
        <w:rPr>
          <w:b/>
          <w:sz w:val="36"/>
          <w:szCs w:val="36"/>
        </w:rPr>
        <w:t>Firm Brochure</w:t>
      </w:r>
    </w:p>
    <w:p w14:paraId="6C3DCA12" w14:textId="77777777" w:rsidR="00B62CFF" w:rsidRPr="00DF1F0E" w:rsidRDefault="00B62CFF" w:rsidP="00B62CFF">
      <w:pPr>
        <w:jc w:val="center"/>
        <w:rPr>
          <w:sz w:val="24"/>
          <w:szCs w:val="24"/>
        </w:rPr>
      </w:pPr>
      <w:r w:rsidRPr="00DF1F0E">
        <w:rPr>
          <w:sz w:val="24"/>
          <w:szCs w:val="24"/>
        </w:rPr>
        <w:t>(</w:t>
      </w:r>
      <w:r w:rsidRPr="00D4277F">
        <w:rPr>
          <w:sz w:val="24"/>
          <w:szCs w:val="24"/>
        </w:rPr>
        <w:t>Part 2A of Form ADV)</w:t>
      </w:r>
    </w:p>
    <w:p w14:paraId="197DFE31" w14:textId="77777777" w:rsidR="000C1B4A" w:rsidRDefault="000C1B4A" w:rsidP="00DF1F0E">
      <w:pPr>
        <w:jc w:val="center"/>
        <w:rPr>
          <w:sz w:val="28"/>
          <w:szCs w:val="28"/>
        </w:rPr>
      </w:pPr>
    </w:p>
    <w:p w14:paraId="118D55C6" w14:textId="77777777" w:rsidR="00B62CFF" w:rsidRDefault="00B62CFF" w:rsidP="00DF1F0E">
      <w:pPr>
        <w:jc w:val="center"/>
        <w:rPr>
          <w:sz w:val="28"/>
          <w:szCs w:val="28"/>
        </w:rPr>
      </w:pPr>
    </w:p>
    <w:p w14:paraId="76205AB4" w14:textId="77777777" w:rsidR="00B62CFF" w:rsidRDefault="00B62CFF" w:rsidP="00DF1F0E">
      <w:pPr>
        <w:jc w:val="center"/>
        <w:rPr>
          <w:sz w:val="28"/>
          <w:szCs w:val="28"/>
        </w:rPr>
      </w:pPr>
    </w:p>
    <w:p w14:paraId="52449A0F" w14:textId="77777777" w:rsidR="00B62CFF" w:rsidRDefault="00B62CFF" w:rsidP="00DF1F0E">
      <w:pPr>
        <w:jc w:val="center"/>
        <w:rPr>
          <w:sz w:val="28"/>
          <w:szCs w:val="28"/>
        </w:rPr>
      </w:pPr>
    </w:p>
    <w:p w14:paraId="2CD7163B" w14:textId="77777777" w:rsidR="00B62CFF" w:rsidRDefault="00B62CFF" w:rsidP="00DF1F0E">
      <w:pPr>
        <w:jc w:val="center"/>
        <w:rPr>
          <w:sz w:val="28"/>
          <w:szCs w:val="28"/>
        </w:rPr>
      </w:pPr>
    </w:p>
    <w:p w14:paraId="527C94AC" w14:textId="77777777" w:rsidR="00B62CFF" w:rsidRDefault="00B62CFF" w:rsidP="00DF1F0E">
      <w:pPr>
        <w:jc w:val="center"/>
        <w:rPr>
          <w:sz w:val="28"/>
          <w:szCs w:val="28"/>
        </w:rPr>
      </w:pPr>
    </w:p>
    <w:p w14:paraId="10607004" w14:textId="77777777" w:rsidR="000C1B4A" w:rsidRDefault="000C1B4A" w:rsidP="00DF1F0E">
      <w:pPr>
        <w:jc w:val="center"/>
        <w:rPr>
          <w:sz w:val="28"/>
          <w:szCs w:val="28"/>
        </w:rPr>
      </w:pPr>
    </w:p>
    <w:p w14:paraId="5EB601A6" w14:textId="77777777" w:rsidR="00C1624A" w:rsidRDefault="00C1624A" w:rsidP="00C1624A">
      <w:pPr>
        <w:pStyle w:val="Default"/>
      </w:pPr>
    </w:p>
    <w:p w14:paraId="076A1FFD" w14:textId="651B71FB" w:rsidR="00DF1F0E" w:rsidRPr="000C1B4A" w:rsidRDefault="00C1624A" w:rsidP="00615B66">
      <w:pPr>
        <w:jc w:val="both"/>
        <w:rPr>
          <w:sz w:val="22"/>
          <w:szCs w:val="22"/>
        </w:rPr>
      </w:pPr>
      <w:r w:rsidRPr="000C1B4A">
        <w:rPr>
          <w:sz w:val="22"/>
          <w:szCs w:val="22"/>
        </w:rPr>
        <w:t>This brochure provides information about the qualifications and business practices of Omega Capital Management, LLC. If you have any questions about the contents of this brochure, please contact us at: (973) 927-8388, or by email at: sbedell@omegacap.com. The information in this brochure has not been</w:t>
      </w:r>
      <w:r w:rsidR="006C6D27">
        <w:rPr>
          <w:sz w:val="22"/>
          <w:szCs w:val="22"/>
        </w:rPr>
        <w:t xml:space="preserve"> </w:t>
      </w:r>
      <w:r w:rsidRPr="000C1B4A">
        <w:rPr>
          <w:sz w:val="22"/>
          <w:szCs w:val="22"/>
        </w:rPr>
        <w:t>approved or verified by the United States Securities and Exchange Commission, or by any state securities authority</w:t>
      </w:r>
      <w:r w:rsidR="00561A09">
        <w:rPr>
          <w:sz w:val="22"/>
          <w:szCs w:val="22"/>
        </w:rPr>
        <w:t xml:space="preserve"> and does not imply a certain level of skill or training</w:t>
      </w:r>
      <w:r w:rsidRPr="000C1B4A">
        <w:rPr>
          <w:sz w:val="22"/>
          <w:szCs w:val="22"/>
        </w:rPr>
        <w:t>.</w:t>
      </w:r>
      <w:r w:rsidR="005243FA">
        <w:rPr>
          <w:sz w:val="22"/>
          <w:szCs w:val="22"/>
        </w:rPr>
        <w:t xml:space="preserve">  </w:t>
      </w:r>
    </w:p>
    <w:p w14:paraId="0D59E8DB" w14:textId="77777777" w:rsidR="000C1B4A" w:rsidRPr="000C1B4A" w:rsidRDefault="000C1B4A" w:rsidP="00856A1F">
      <w:pPr>
        <w:rPr>
          <w:sz w:val="22"/>
          <w:szCs w:val="22"/>
        </w:rPr>
      </w:pPr>
    </w:p>
    <w:p w14:paraId="4D46D906" w14:textId="7387CCA5" w:rsidR="000C1B4A" w:rsidRPr="000C1B4A" w:rsidRDefault="000C1B4A" w:rsidP="00856A1F">
      <w:pPr>
        <w:rPr>
          <w:sz w:val="22"/>
          <w:szCs w:val="22"/>
        </w:rPr>
      </w:pPr>
      <w:r w:rsidRPr="000C1B4A">
        <w:rPr>
          <w:sz w:val="22"/>
          <w:szCs w:val="22"/>
        </w:rPr>
        <w:t xml:space="preserve">Additional information about Omega Capital Management, LLC is also available on the SEC’s website at </w:t>
      </w:r>
      <w:hyperlink r:id="rId12" w:history="1">
        <w:r w:rsidR="00615B66" w:rsidRPr="008F36F9">
          <w:rPr>
            <w:rStyle w:val="Hyperlink"/>
            <w:sz w:val="22"/>
            <w:szCs w:val="22"/>
          </w:rPr>
          <w:t>www.adviserinfo.sec.gov</w:t>
        </w:r>
      </w:hyperlink>
      <w:r w:rsidR="00615B66">
        <w:rPr>
          <w:sz w:val="22"/>
          <w:szCs w:val="22"/>
        </w:rPr>
        <w:t xml:space="preserve"> </w:t>
      </w:r>
    </w:p>
    <w:p w14:paraId="32008F40" w14:textId="77777777" w:rsidR="00DF1F0E" w:rsidRDefault="00DF1F0E" w:rsidP="00DF1F0E">
      <w:pPr>
        <w:jc w:val="center"/>
        <w:rPr>
          <w:sz w:val="28"/>
          <w:szCs w:val="28"/>
        </w:rPr>
      </w:pPr>
    </w:p>
    <w:p w14:paraId="5A845C72" w14:textId="77777777" w:rsidR="00DF1F0E" w:rsidRDefault="00DF1F0E" w:rsidP="00DF1F0E">
      <w:pPr>
        <w:jc w:val="center"/>
        <w:rPr>
          <w:sz w:val="28"/>
          <w:szCs w:val="28"/>
        </w:rPr>
      </w:pPr>
    </w:p>
    <w:p w14:paraId="22DB6538" w14:textId="77777777" w:rsidR="00DF1F0E" w:rsidRDefault="00DF1F0E" w:rsidP="00DF1F0E">
      <w:pPr>
        <w:jc w:val="center"/>
        <w:rPr>
          <w:sz w:val="28"/>
          <w:szCs w:val="28"/>
        </w:rPr>
      </w:pPr>
    </w:p>
    <w:p w14:paraId="55C6ED15" w14:textId="3764AE2C" w:rsidR="00DF1F0E" w:rsidRDefault="00260BDF" w:rsidP="000E48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March </w:t>
      </w:r>
      <w:r w:rsidR="00515205">
        <w:rPr>
          <w:sz w:val="28"/>
          <w:szCs w:val="28"/>
        </w:rPr>
        <w:t>202</w:t>
      </w:r>
      <w:r w:rsidR="00954298">
        <w:rPr>
          <w:sz w:val="28"/>
          <w:szCs w:val="28"/>
        </w:rPr>
        <w:t>3</w:t>
      </w:r>
    </w:p>
    <w:p w14:paraId="4B82335E" w14:textId="77777777" w:rsidR="00DF1F0E" w:rsidRDefault="00DF1F0E" w:rsidP="00DF1F0E">
      <w:pPr>
        <w:jc w:val="center"/>
        <w:rPr>
          <w:sz w:val="28"/>
          <w:szCs w:val="28"/>
        </w:rPr>
      </w:pPr>
    </w:p>
    <w:p w14:paraId="5CF976D6" w14:textId="5A9DB276" w:rsidR="00C1624A" w:rsidRDefault="00C1624A" w:rsidP="00DF1F0E">
      <w:pPr>
        <w:jc w:val="center"/>
        <w:rPr>
          <w:sz w:val="28"/>
          <w:szCs w:val="28"/>
        </w:rPr>
      </w:pPr>
    </w:p>
    <w:p w14:paraId="6ED4407E" w14:textId="5FBB03A1" w:rsidR="00A31A12" w:rsidRDefault="00A31A12" w:rsidP="00DF1F0E">
      <w:pPr>
        <w:jc w:val="center"/>
        <w:rPr>
          <w:sz w:val="28"/>
          <w:szCs w:val="28"/>
        </w:rPr>
      </w:pPr>
    </w:p>
    <w:p w14:paraId="24871A05" w14:textId="6DFE062F" w:rsidR="00A31A12" w:rsidRDefault="00A31A12" w:rsidP="00DF1F0E">
      <w:pPr>
        <w:jc w:val="center"/>
        <w:rPr>
          <w:sz w:val="28"/>
          <w:szCs w:val="28"/>
        </w:rPr>
      </w:pPr>
    </w:p>
    <w:p w14:paraId="45402725" w14:textId="77777777" w:rsidR="00A31A12" w:rsidRDefault="00A31A12" w:rsidP="00DF1F0E">
      <w:pPr>
        <w:jc w:val="center"/>
        <w:rPr>
          <w:sz w:val="28"/>
          <w:szCs w:val="28"/>
        </w:rPr>
      </w:pPr>
    </w:p>
    <w:p w14:paraId="6950D9D7" w14:textId="77777777" w:rsidR="00C1624A" w:rsidRPr="005410A9" w:rsidRDefault="00A42FCE" w:rsidP="005410A9">
      <w:pPr>
        <w:jc w:val="center"/>
        <w:rPr>
          <w:rFonts w:ascii="Arial" w:hAnsi="Arial" w:cs="Arial"/>
          <w:b/>
          <w:sz w:val="28"/>
          <w:szCs w:val="28"/>
          <w:u w:val="single"/>
        </w:rPr>
      </w:pPr>
      <w:r>
        <w:rPr>
          <w:noProof/>
          <w:sz w:val="28"/>
          <w:szCs w:val="28"/>
        </w:rPr>
        <w:lastRenderedPageBreak/>
        <mc:AlternateContent>
          <mc:Choice Requires="wps">
            <w:drawing>
              <wp:anchor distT="0" distB="0" distL="114300" distR="114300" simplePos="0" relativeHeight="251657728" behindDoc="0" locked="0" layoutInCell="1" allowOverlap="1" wp14:anchorId="2A535845" wp14:editId="5A6E13D0">
                <wp:simplePos x="0" y="0"/>
                <wp:positionH relativeFrom="column">
                  <wp:posOffset>2947670</wp:posOffset>
                </wp:positionH>
                <wp:positionV relativeFrom="paragraph">
                  <wp:posOffset>476250</wp:posOffset>
                </wp:positionV>
                <wp:extent cx="90805" cy="102235"/>
                <wp:effectExtent l="4445"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E90E" id="Rectangle 2" o:spid="_x0000_s1026" style="position:absolute;margin-left:232.1pt;margin-top:37.5pt;width:7.1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BW5AEAALMDAAAOAAAAZHJzL2Uyb0RvYy54bWysU9uO0zAQfUfiHyy/01xoYTdqulp1VYS0&#10;XKSFD3AcJ7FwPGbsNi1fz9jpdit4Q+TB8ng8Z+Ycn6zvjqNhB4Veg615scg5U1ZCq21f8+/fdm9u&#10;OPNB2FYYsKrmJ+X53eb1q/XkKlXCAKZVyAjE+mpyNR9CcFWWeTmoUfgFOGUp2QGOIlCIfdaimAh9&#10;NFmZ5++yCbB1CFJ5T6cPc5JvEn7XKRm+dJ1XgZma02whrZjWJq7ZZi2qHoUbtDyPIf5hilFoS00v&#10;UA8iCLZH/RfUqCWChy4sJIwZdJ2WKnEgNkX+B5unQTiVuJA43l1k8v8PVn4+PLmvGEf37hHkD88s&#10;bAdhe3WPCNOgREvtiihUNjlfXQpi4KmUNdMnaOlpxT5A0uDY4RgBiR07JqlPF6nVMTBJh7f5Tb7i&#10;TFKmyMvy7So1ENVzrUMfPigYWdzUHOkhE7Y4PPoQZxHV85U0Oxjd7rQxKcC+2RpkB0GPvkvfGd1f&#10;XzM2XrYQy2bEeJJIRl7RQr5qoD0RR4TZOeR02gyAvzibyDU19z/3AhVn5qMlnW6L5TLaLAXL1fuS&#10;ArzONNcZYSVB1TxwNm+3Ybbm3qHuB+pUJNIW7knbTifiL1OdhyVnJD3OLo7Wu47TrZd/bfMbAAD/&#10;/wMAUEsDBBQABgAIAAAAIQB1tYJ54AAAAAkBAAAPAAAAZHJzL2Rvd25yZXYueG1sTI9BT8JAEIXv&#10;Jv6HzZh4MbItKVBqp8SQmIg30QPHpbu0xe5s011K++8dT3KczJf3vpdvRtuKwfS+cYQQzyIQhkqn&#10;G6oQvr/enlMQPijSqnVkECbjYVPc3+Uq0+5Kn2bYh0pwCPlMIdQhdJmUvqyNVX7mOkP8O7neqsBn&#10;X0ndqyuH21bOo2gprWqIG2rVmW1typ/9xSKU7zLdPsVnO5ym8y75mMLukGjEx4fx9QVEMGP4h+FP&#10;n9WhYKeju5D2okVIlsmcUYTVgjcxkKzSBYgjwjqOQRa5vF1Q/AIAAP//AwBQSwECLQAUAAYACAAA&#10;ACEAtoM4kv4AAADhAQAAEwAAAAAAAAAAAAAAAAAAAAAAW0NvbnRlbnRfVHlwZXNdLnhtbFBLAQIt&#10;ABQABgAIAAAAIQA4/SH/1gAAAJQBAAALAAAAAAAAAAAAAAAAAC8BAABfcmVscy8ucmVsc1BLAQIt&#10;ABQABgAIAAAAIQBiHGBW5AEAALMDAAAOAAAAAAAAAAAAAAAAAC4CAABkcnMvZTJvRG9jLnhtbFBL&#10;AQItABQABgAIAAAAIQB1tYJ54AAAAAkBAAAPAAAAAAAAAAAAAAAAAD4EAABkcnMvZG93bnJldi54&#10;bWxQSwUGAAAAAAQABADzAAAASwUAAAAA&#10;" stroked="f" strokeweight="0"/>
            </w:pict>
          </mc:Fallback>
        </mc:AlternateContent>
      </w:r>
      <w:r w:rsidR="00C1624A" w:rsidRPr="005410A9">
        <w:rPr>
          <w:rFonts w:ascii="Arial" w:hAnsi="Arial" w:cs="Arial"/>
          <w:b/>
          <w:sz w:val="28"/>
          <w:szCs w:val="28"/>
          <w:u w:val="single"/>
        </w:rPr>
        <w:t>Material Changes</w:t>
      </w:r>
    </w:p>
    <w:p w14:paraId="5DC1EEBC" w14:textId="77777777" w:rsidR="00C1624A" w:rsidRDefault="00C1624A" w:rsidP="00C1624A">
      <w:pPr>
        <w:rPr>
          <w:b/>
          <w:sz w:val="28"/>
          <w:szCs w:val="28"/>
        </w:rPr>
      </w:pPr>
    </w:p>
    <w:p w14:paraId="73F09622" w14:textId="77777777" w:rsidR="00AA3526" w:rsidRDefault="00AA3526" w:rsidP="00AA3526">
      <w:pPr>
        <w:jc w:val="center"/>
      </w:pPr>
    </w:p>
    <w:p w14:paraId="6FBC8F82" w14:textId="77777777" w:rsidR="006551FA" w:rsidRDefault="006551FA" w:rsidP="004F6C2A">
      <w:pPr>
        <w:rPr>
          <w:b/>
          <w:sz w:val="24"/>
          <w:szCs w:val="24"/>
        </w:rPr>
      </w:pPr>
      <w:r>
        <w:rPr>
          <w:b/>
          <w:sz w:val="24"/>
          <w:szCs w:val="24"/>
        </w:rPr>
        <w:t>Annual Update</w:t>
      </w:r>
    </w:p>
    <w:p w14:paraId="2FDA637E" w14:textId="77777777" w:rsidR="006551FA" w:rsidRDefault="006551FA" w:rsidP="004F6C2A">
      <w:pPr>
        <w:rPr>
          <w:b/>
          <w:sz w:val="24"/>
          <w:szCs w:val="24"/>
        </w:rPr>
      </w:pPr>
      <w:r w:rsidRPr="006551FA">
        <w:t>The Material Changes section</w:t>
      </w:r>
      <w:r>
        <w:t xml:space="preserve"> of this brochure will be updated</w:t>
      </w:r>
      <w:r w:rsidRPr="006551FA">
        <w:t xml:space="preserve"> </w:t>
      </w:r>
      <w:r>
        <w:t>each year</w:t>
      </w:r>
      <w:r w:rsidRPr="006551FA">
        <w:t xml:space="preserve"> if ma</w:t>
      </w:r>
      <w:r w:rsidR="00AC5D8F">
        <w:t>terial changes have taken place</w:t>
      </w:r>
      <w:r w:rsidRPr="006551FA">
        <w:t xml:space="preserve"> </w:t>
      </w:r>
      <w:r w:rsidR="00867931">
        <w:t xml:space="preserve">since the time of filing of our last </w:t>
      </w:r>
      <w:r w:rsidRPr="006551FA">
        <w:t>Firm Brochure</w:t>
      </w:r>
      <w:r w:rsidR="00867931">
        <w:t>.</w:t>
      </w:r>
      <w:r w:rsidRPr="006551FA">
        <w:t xml:space="preserve"> </w:t>
      </w:r>
    </w:p>
    <w:p w14:paraId="68279696" w14:textId="77777777" w:rsidR="00867931" w:rsidRDefault="00867931" w:rsidP="004F6C2A">
      <w:pPr>
        <w:rPr>
          <w:b/>
          <w:sz w:val="24"/>
          <w:szCs w:val="24"/>
        </w:rPr>
      </w:pPr>
    </w:p>
    <w:p w14:paraId="51C8F313" w14:textId="416FABC1" w:rsidR="00867931" w:rsidRDefault="00867931" w:rsidP="004F6C2A">
      <w:pPr>
        <w:rPr>
          <w:b/>
          <w:sz w:val="24"/>
          <w:szCs w:val="24"/>
        </w:rPr>
      </w:pPr>
      <w:r>
        <w:rPr>
          <w:b/>
          <w:sz w:val="24"/>
          <w:szCs w:val="24"/>
        </w:rPr>
        <w:t>Material Cha</w:t>
      </w:r>
      <w:r w:rsidR="00E36A1F">
        <w:rPr>
          <w:b/>
          <w:sz w:val="24"/>
          <w:szCs w:val="24"/>
        </w:rPr>
        <w:t xml:space="preserve">nges since our </w:t>
      </w:r>
      <w:r w:rsidR="00F655E4">
        <w:rPr>
          <w:b/>
          <w:sz w:val="24"/>
          <w:szCs w:val="24"/>
        </w:rPr>
        <w:t xml:space="preserve">last </w:t>
      </w:r>
      <w:r w:rsidR="00023E5C">
        <w:rPr>
          <w:b/>
          <w:sz w:val="24"/>
          <w:szCs w:val="24"/>
        </w:rPr>
        <w:t xml:space="preserve">Annual Amendment </w:t>
      </w:r>
      <w:r w:rsidR="00E36A1F">
        <w:rPr>
          <w:b/>
          <w:sz w:val="24"/>
          <w:szCs w:val="24"/>
        </w:rPr>
        <w:t>Filing</w:t>
      </w:r>
      <w:r w:rsidR="00023E5C">
        <w:rPr>
          <w:b/>
          <w:sz w:val="24"/>
          <w:szCs w:val="24"/>
        </w:rPr>
        <w:t xml:space="preserve"> on </w:t>
      </w:r>
      <w:r w:rsidR="00996E5F">
        <w:rPr>
          <w:b/>
          <w:sz w:val="24"/>
          <w:szCs w:val="24"/>
        </w:rPr>
        <w:t>March</w:t>
      </w:r>
      <w:r w:rsidR="00425122">
        <w:rPr>
          <w:b/>
          <w:sz w:val="24"/>
          <w:szCs w:val="24"/>
        </w:rPr>
        <w:t xml:space="preserve"> </w:t>
      </w:r>
      <w:r w:rsidR="00A8100D">
        <w:rPr>
          <w:b/>
          <w:sz w:val="24"/>
          <w:szCs w:val="24"/>
        </w:rPr>
        <w:t>2</w:t>
      </w:r>
      <w:r w:rsidR="00996E5F">
        <w:rPr>
          <w:b/>
          <w:sz w:val="24"/>
          <w:szCs w:val="24"/>
        </w:rPr>
        <w:t>2</w:t>
      </w:r>
      <w:r w:rsidR="00023E5C">
        <w:rPr>
          <w:b/>
          <w:sz w:val="24"/>
          <w:szCs w:val="24"/>
        </w:rPr>
        <w:t>, 20</w:t>
      </w:r>
      <w:r w:rsidR="00425122">
        <w:rPr>
          <w:b/>
          <w:sz w:val="24"/>
          <w:szCs w:val="24"/>
        </w:rPr>
        <w:t>2</w:t>
      </w:r>
      <w:r w:rsidR="00996E5F">
        <w:rPr>
          <w:b/>
          <w:sz w:val="24"/>
          <w:szCs w:val="24"/>
        </w:rPr>
        <w:t>2:</w:t>
      </w:r>
    </w:p>
    <w:p w14:paraId="6AD54B01" w14:textId="529A93F1" w:rsidR="00D73FC6" w:rsidRPr="00B97EF0" w:rsidRDefault="00D73FC6" w:rsidP="00B97EF0">
      <w:pPr>
        <w:jc w:val="both"/>
        <w:rPr>
          <w:bCs/>
          <w:sz w:val="22"/>
          <w:szCs w:val="22"/>
        </w:rPr>
      </w:pPr>
    </w:p>
    <w:p w14:paraId="3AD9B0BE" w14:textId="4593B8C2" w:rsidR="00F64D6C" w:rsidRDefault="00F64D6C">
      <w:pPr>
        <w:pStyle w:val="ListParagraph"/>
        <w:numPr>
          <w:ilvl w:val="0"/>
          <w:numId w:val="19"/>
        </w:numPr>
        <w:jc w:val="both"/>
        <w:rPr>
          <w:bCs/>
          <w:sz w:val="22"/>
          <w:szCs w:val="22"/>
        </w:rPr>
      </w:pPr>
      <w:r>
        <w:rPr>
          <w:bCs/>
          <w:sz w:val="22"/>
          <w:szCs w:val="22"/>
        </w:rPr>
        <w:t xml:space="preserve">Our firm is clarifying that </w:t>
      </w:r>
      <w:r w:rsidR="00015904">
        <w:rPr>
          <w:bCs/>
          <w:sz w:val="22"/>
          <w:szCs w:val="22"/>
        </w:rPr>
        <w:t xml:space="preserve">we bill at an hourly rate of $250 for Financial Planning Services. </w:t>
      </w:r>
      <w:r w:rsidR="0043123E">
        <w:rPr>
          <w:bCs/>
          <w:sz w:val="22"/>
          <w:szCs w:val="22"/>
        </w:rPr>
        <w:t>More information can be found in “Fees and Compensation”.</w:t>
      </w:r>
    </w:p>
    <w:p w14:paraId="3C1BE45D" w14:textId="480C5A0E" w:rsidR="00F34EED" w:rsidRDefault="00D73FC6" w:rsidP="00B97EF0">
      <w:pPr>
        <w:pStyle w:val="ListParagraph"/>
        <w:numPr>
          <w:ilvl w:val="0"/>
          <w:numId w:val="19"/>
        </w:numPr>
        <w:jc w:val="both"/>
        <w:rPr>
          <w:bCs/>
          <w:sz w:val="22"/>
          <w:szCs w:val="22"/>
        </w:rPr>
      </w:pPr>
      <w:r>
        <w:rPr>
          <w:bCs/>
          <w:sz w:val="22"/>
          <w:szCs w:val="22"/>
        </w:rPr>
        <w:t xml:space="preserve">Our firm is </w:t>
      </w:r>
      <w:r w:rsidR="005575C7">
        <w:rPr>
          <w:bCs/>
          <w:sz w:val="22"/>
          <w:szCs w:val="22"/>
        </w:rPr>
        <w:t>in</w:t>
      </w:r>
      <w:r w:rsidR="00D61500">
        <w:rPr>
          <w:bCs/>
          <w:sz w:val="22"/>
          <w:szCs w:val="22"/>
        </w:rPr>
        <w:t xml:space="preserve"> accordance with</w:t>
      </w:r>
      <w:r w:rsidR="005575C7">
        <w:rPr>
          <w:bCs/>
          <w:sz w:val="22"/>
          <w:szCs w:val="22"/>
        </w:rPr>
        <w:t xml:space="preserve"> </w:t>
      </w:r>
      <w:r w:rsidR="00D61500" w:rsidRPr="00D61500">
        <w:rPr>
          <w:bCs/>
          <w:sz w:val="22"/>
          <w:szCs w:val="22"/>
        </w:rPr>
        <w:t xml:space="preserve">Rule 206 (4)-1 of the Investment Advisers Act of 1940, </w:t>
      </w:r>
      <w:r w:rsidR="00D61500">
        <w:rPr>
          <w:bCs/>
          <w:sz w:val="22"/>
          <w:szCs w:val="22"/>
        </w:rPr>
        <w:t>and</w:t>
      </w:r>
      <w:r w:rsidR="00D61500" w:rsidRPr="00D61500">
        <w:rPr>
          <w:bCs/>
          <w:sz w:val="22"/>
          <w:szCs w:val="22"/>
        </w:rPr>
        <w:t xml:space="preserve"> does not provide cash or non-cash compensation directly or indirectly to unaffiliated persons for testimonials or endorsements</w:t>
      </w:r>
      <w:r w:rsidR="00D61500">
        <w:rPr>
          <w:bCs/>
          <w:sz w:val="22"/>
          <w:szCs w:val="22"/>
        </w:rPr>
        <w:t xml:space="preserve">. More information can be found in </w:t>
      </w:r>
      <w:r w:rsidR="00A00F2B">
        <w:rPr>
          <w:bCs/>
          <w:sz w:val="22"/>
          <w:szCs w:val="22"/>
        </w:rPr>
        <w:t>“</w:t>
      </w:r>
      <w:r w:rsidR="00A00F2B" w:rsidRPr="00A00F2B">
        <w:rPr>
          <w:bCs/>
          <w:sz w:val="22"/>
          <w:szCs w:val="22"/>
        </w:rPr>
        <w:t>Client Referrals and Other Compensation</w:t>
      </w:r>
      <w:r w:rsidR="00A00F2B">
        <w:rPr>
          <w:bCs/>
          <w:sz w:val="22"/>
          <w:szCs w:val="22"/>
        </w:rPr>
        <w:t>”</w:t>
      </w:r>
      <w:r w:rsidR="00D61500">
        <w:rPr>
          <w:bCs/>
          <w:sz w:val="22"/>
          <w:szCs w:val="22"/>
        </w:rPr>
        <w:t xml:space="preserve">. </w:t>
      </w:r>
      <w:r w:rsidR="0076021B">
        <w:rPr>
          <w:bCs/>
          <w:sz w:val="22"/>
          <w:szCs w:val="22"/>
        </w:rPr>
        <w:t xml:space="preserve"> </w:t>
      </w:r>
    </w:p>
    <w:p w14:paraId="1576DFDE" w14:textId="0C4DAC84" w:rsidR="009B47C3" w:rsidRDefault="00F34EED" w:rsidP="00D352DE">
      <w:pPr>
        <w:pStyle w:val="ListParagraph"/>
        <w:numPr>
          <w:ilvl w:val="0"/>
          <w:numId w:val="19"/>
        </w:numPr>
        <w:jc w:val="both"/>
        <w:rPr>
          <w:bCs/>
          <w:sz w:val="22"/>
          <w:szCs w:val="22"/>
        </w:rPr>
      </w:pPr>
      <w:r>
        <w:rPr>
          <w:bCs/>
          <w:sz w:val="22"/>
          <w:szCs w:val="22"/>
        </w:rPr>
        <w:t xml:space="preserve">Our firm has clarified that </w:t>
      </w:r>
      <w:r w:rsidR="00A00F2B">
        <w:rPr>
          <w:bCs/>
          <w:sz w:val="22"/>
          <w:szCs w:val="22"/>
        </w:rPr>
        <w:t>soft dollar benefits are not</w:t>
      </w:r>
      <w:r w:rsidR="00A00F2B" w:rsidRPr="00B97EF0">
        <w:rPr>
          <w:bCs/>
          <w:sz w:val="22"/>
          <w:szCs w:val="22"/>
        </w:rPr>
        <w:t xml:space="preserve"> in excess of what is allowed by Section 28(e) of the Securities Exchange Act of 1934. </w:t>
      </w:r>
      <w:r w:rsidR="00A00F2B">
        <w:rPr>
          <w:bCs/>
          <w:sz w:val="22"/>
          <w:szCs w:val="22"/>
        </w:rPr>
        <w:t>More information can be found in “Brokerage Practices”.</w:t>
      </w:r>
    </w:p>
    <w:p w14:paraId="6193E8F2" w14:textId="6CF1F4EF" w:rsidR="00D95BEE" w:rsidRPr="00B97EF0" w:rsidRDefault="00D95BEE" w:rsidP="00D95BEE">
      <w:pPr>
        <w:pStyle w:val="ListParagraph"/>
        <w:numPr>
          <w:ilvl w:val="0"/>
          <w:numId w:val="19"/>
        </w:numPr>
        <w:jc w:val="both"/>
        <w:rPr>
          <w:bCs/>
          <w:sz w:val="22"/>
          <w:szCs w:val="22"/>
        </w:rPr>
      </w:pPr>
      <w:r w:rsidRPr="00B97EF0">
        <w:rPr>
          <w:bCs/>
          <w:sz w:val="22"/>
          <w:szCs w:val="22"/>
        </w:rPr>
        <w:t xml:space="preserve">Our firm does not require the prepayment of more than $1,200 in fees when services cannot be rendered within 6 months. </w:t>
      </w:r>
      <w:r>
        <w:rPr>
          <w:bCs/>
          <w:sz w:val="22"/>
          <w:szCs w:val="22"/>
        </w:rPr>
        <w:t>More information can be found in “Financial Information”.</w:t>
      </w:r>
    </w:p>
    <w:p w14:paraId="51E7BA31" w14:textId="77777777" w:rsidR="002F1224" w:rsidRDefault="002F1224" w:rsidP="004F6C2A"/>
    <w:p w14:paraId="30134FD0" w14:textId="77777777" w:rsidR="004F6C2A" w:rsidRPr="004F6C2A" w:rsidRDefault="004F6C2A" w:rsidP="004F6C2A">
      <w:pPr>
        <w:rPr>
          <w:b/>
          <w:sz w:val="24"/>
          <w:szCs w:val="24"/>
        </w:rPr>
      </w:pPr>
      <w:r w:rsidRPr="004F6C2A">
        <w:rPr>
          <w:b/>
          <w:sz w:val="24"/>
          <w:szCs w:val="24"/>
        </w:rPr>
        <w:t>Firm Brochure Availability</w:t>
      </w:r>
    </w:p>
    <w:p w14:paraId="6FE9A61E" w14:textId="77777777" w:rsidR="004F6C2A" w:rsidRDefault="004F6C2A" w:rsidP="004F6C2A">
      <w:r>
        <w:t>Copies of our firm’s Brochure are available upon request</w:t>
      </w:r>
      <w:r w:rsidR="00867931">
        <w:t>.</w:t>
      </w:r>
    </w:p>
    <w:p w14:paraId="7196B8A5" w14:textId="77777777" w:rsidR="00AA3526" w:rsidRDefault="00AA3526" w:rsidP="00AA3526"/>
    <w:p w14:paraId="3E367393" w14:textId="77777777" w:rsidR="00AA3526" w:rsidRDefault="00AA3526" w:rsidP="00AA3526"/>
    <w:p w14:paraId="49FC9BF4" w14:textId="77777777" w:rsidR="00AA3526" w:rsidRDefault="00AA3526" w:rsidP="00AA3526"/>
    <w:p w14:paraId="7AF7B967" w14:textId="77777777" w:rsidR="00AA3526" w:rsidRDefault="00AA3526" w:rsidP="00CE7FDD">
      <w:pPr>
        <w:ind w:firstLine="720"/>
      </w:pPr>
    </w:p>
    <w:p w14:paraId="0C90957D" w14:textId="77777777" w:rsidR="005E41D1" w:rsidRDefault="005E41D1" w:rsidP="00AA3526"/>
    <w:p w14:paraId="21C393A2" w14:textId="77777777" w:rsidR="005E41D1" w:rsidRDefault="005E41D1" w:rsidP="00AA3526"/>
    <w:p w14:paraId="670382AB" w14:textId="77777777" w:rsidR="005E41D1" w:rsidRDefault="005E41D1" w:rsidP="00AA3526"/>
    <w:p w14:paraId="0CB8CBA4" w14:textId="77777777" w:rsidR="005E41D1" w:rsidRDefault="005E41D1" w:rsidP="00AA3526"/>
    <w:p w14:paraId="28690D2C" w14:textId="77777777" w:rsidR="005E41D1" w:rsidRDefault="005E41D1" w:rsidP="00AA3526"/>
    <w:p w14:paraId="612B2C78" w14:textId="77777777" w:rsidR="005E41D1" w:rsidRDefault="005E41D1" w:rsidP="00AA3526"/>
    <w:p w14:paraId="5055EF7A" w14:textId="77777777" w:rsidR="005E41D1" w:rsidRDefault="005E41D1" w:rsidP="00AA3526"/>
    <w:p w14:paraId="0BD10D24" w14:textId="77777777" w:rsidR="005E41D1" w:rsidRDefault="005E41D1" w:rsidP="00AA3526"/>
    <w:p w14:paraId="6DF1CE2E" w14:textId="061CC0B8" w:rsidR="005E41D1" w:rsidRDefault="005E41D1" w:rsidP="00AA3526"/>
    <w:p w14:paraId="1819F46A" w14:textId="36C2485F" w:rsidR="00866C7E" w:rsidRDefault="00866C7E" w:rsidP="00AA3526"/>
    <w:p w14:paraId="565F3163" w14:textId="1CF68ABE" w:rsidR="00866C7E" w:rsidRDefault="00866C7E" w:rsidP="00AA3526"/>
    <w:p w14:paraId="39356474" w14:textId="505B9047" w:rsidR="00866C7E" w:rsidRDefault="00866C7E" w:rsidP="00AA3526"/>
    <w:p w14:paraId="63BAE156" w14:textId="13638F84" w:rsidR="00866C7E" w:rsidRDefault="00866C7E" w:rsidP="00AA3526"/>
    <w:p w14:paraId="6D856450" w14:textId="31663518" w:rsidR="00866C7E" w:rsidRDefault="00866C7E" w:rsidP="00AA3526"/>
    <w:p w14:paraId="390FA014" w14:textId="277CE83F" w:rsidR="00866C7E" w:rsidRDefault="00866C7E" w:rsidP="00AA3526"/>
    <w:p w14:paraId="7DE68F93" w14:textId="77777777" w:rsidR="00866C7E" w:rsidRDefault="00866C7E" w:rsidP="00AA3526"/>
    <w:p w14:paraId="707FAC13" w14:textId="77777777" w:rsidR="005E41D1" w:rsidRDefault="005E41D1" w:rsidP="00AA3526"/>
    <w:p w14:paraId="6CF94E5C" w14:textId="77777777" w:rsidR="005E41D1" w:rsidRDefault="005E41D1" w:rsidP="00AA3526"/>
    <w:p w14:paraId="33400A32" w14:textId="77777777" w:rsidR="005E41D1" w:rsidRDefault="005E41D1" w:rsidP="00AA3526"/>
    <w:p w14:paraId="2DE3598D" w14:textId="77777777" w:rsidR="0097353A" w:rsidRDefault="0097353A" w:rsidP="00AA3526"/>
    <w:p w14:paraId="699B0DEF" w14:textId="7270010A" w:rsidR="009B47C3" w:rsidRDefault="009B47C3"/>
    <w:p w14:paraId="1C5F88A1" w14:textId="77777777" w:rsidR="005B7564" w:rsidRDefault="005B7564" w:rsidP="00AA3526"/>
    <w:p w14:paraId="70082469" w14:textId="041CD3A4" w:rsidR="00CF5C12" w:rsidRDefault="00CF5C12" w:rsidP="00AA3526"/>
    <w:p w14:paraId="60EFE177" w14:textId="77777777" w:rsidR="00CF5C12" w:rsidRDefault="00CF5C12" w:rsidP="00AA3526"/>
    <w:p w14:paraId="6AD39F01" w14:textId="5387EAEA" w:rsidR="00C529E5" w:rsidRDefault="00C529E5" w:rsidP="00AA3526"/>
    <w:p w14:paraId="204BEF19" w14:textId="77777777" w:rsidR="00C529E5" w:rsidRDefault="00C529E5" w:rsidP="00AA3526"/>
    <w:p w14:paraId="44E86F6F" w14:textId="373D4CB4" w:rsidR="00DF1433" w:rsidRDefault="00DF1433" w:rsidP="00DF1433">
      <w:pPr>
        <w:pStyle w:val="Header"/>
        <w:tabs>
          <w:tab w:val="clear" w:pos="4320"/>
          <w:tab w:val="clear" w:pos="8640"/>
        </w:tabs>
        <w:jc w:val="center"/>
        <w:rPr>
          <w:rFonts w:ascii="Arial" w:hAnsi="Arial" w:cs="Arial"/>
          <w:b/>
          <w:sz w:val="32"/>
          <w:szCs w:val="32"/>
        </w:rPr>
      </w:pPr>
      <w:r>
        <w:rPr>
          <w:rFonts w:ascii="Arial" w:hAnsi="Arial" w:cs="Arial"/>
          <w:b/>
          <w:sz w:val="32"/>
          <w:szCs w:val="32"/>
        </w:rPr>
        <w:lastRenderedPageBreak/>
        <w:t xml:space="preserve">Table of Contents </w:t>
      </w:r>
    </w:p>
    <w:p w14:paraId="2407E1AC" w14:textId="77777777" w:rsidR="00DF1433" w:rsidRPr="004C4B12" w:rsidRDefault="00DF1433" w:rsidP="00DF1433">
      <w:pPr>
        <w:pStyle w:val="Header"/>
        <w:tabs>
          <w:tab w:val="clear" w:pos="4320"/>
          <w:tab w:val="clear" w:pos="8640"/>
        </w:tabs>
        <w:rPr>
          <w:rFonts w:ascii="Arial" w:hAnsi="Arial" w:cs="Arial"/>
          <w:b/>
          <w:sz w:val="24"/>
          <w:szCs w:val="24"/>
        </w:rPr>
      </w:pPr>
    </w:p>
    <w:p w14:paraId="5D694FFC" w14:textId="77777777" w:rsidR="00DF1433" w:rsidRPr="004C4B12" w:rsidRDefault="00DF1433" w:rsidP="00DF1433">
      <w:pPr>
        <w:pStyle w:val="Header"/>
        <w:tabs>
          <w:tab w:val="clear" w:pos="4320"/>
          <w:tab w:val="clear" w:pos="8640"/>
        </w:tabs>
        <w:rPr>
          <w:rFonts w:ascii="Arial" w:hAnsi="Arial" w:cs="Arial"/>
          <w:b/>
          <w:sz w:val="24"/>
          <w:szCs w:val="24"/>
        </w:rPr>
      </w:pPr>
    </w:p>
    <w:p w14:paraId="2C2E61D9" w14:textId="77777777" w:rsidR="00DF1433" w:rsidRDefault="00DF1433" w:rsidP="00DF1433">
      <w:pPr>
        <w:pStyle w:val="Header"/>
        <w:tabs>
          <w:tab w:val="clear" w:pos="4320"/>
          <w:tab w:val="clear" w:pos="8640"/>
        </w:tabs>
        <w:jc w:val="center"/>
        <w:rPr>
          <w:rFonts w:ascii="Arial" w:hAnsi="Arial" w:cs="Arial"/>
          <w:b/>
          <w:sz w:val="32"/>
          <w:szCs w:val="32"/>
        </w:rPr>
      </w:pPr>
    </w:p>
    <w:p w14:paraId="0A6C7982" w14:textId="77777777" w:rsidR="00DF1433" w:rsidRPr="00326093" w:rsidRDefault="00DF1433" w:rsidP="00DF1433">
      <w:pPr>
        <w:pStyle w:val="Header"/>
        <w:tabs>
          <w:tab w:val="clear" w:pos="4320"/>
          <w:tab w:val="clear" w:pos="8640"/>
        </w:tabs>
        <w:rPr>
          <w:rFonts w:ascii="Arial" w:hAnsi="Arial" w:cs="Arial"/>
          <w:b/>
          <w:sz w:val="24"/>
          <w:szCs w:val="24"/>
        </w:rPr>
      </w:pPr>
      <w:r w:rsidRPr="00326093">
        <w:rPr>
          <w:rFonts w:ascii="Arial" w:hAnsi="Arial" w:cs="Arial"/>
          <w:b/>
          <w:sz w:val="24"/>
          <w:szCs w:val="24"/>
        </w:rPr>
        <w:t>Material Changes</w:t>
      </w:r>
    </w:p>
    <w:p w14:paraId="7E7E2220" w14:textId="77777777" w:rsidR="004000B2" w:rsidRDefault="004000B2" w:rsidP="003919AE">
      <w:pPr>
        <w:pStyle w:val="Header"/>
        <w:tabs>
          <w:tab w:val="clear" w:pos="4320"/>
          <w:tab w:val="clear" w:pos="8640"/>
        </w:tabs>
        <w:ind w:firstLine="720"/>
        <w:jc w:val="both"/>
        <w:rPr>
          <w:sz w:val="24"/>
          <w:szCs w:val="24"/>
        </w:rPr>
      </w:pPr>
      <w:r>
        <w:rPr>
          <w:sz w:val="24"/>
          <w:szCs w:val="24"/>
        </w:rPr>
        <w:t>Annual Update……………</w:t>
      </w:r>
      <w:r w:rsidR="003919AE">
        <w:rPr>
          <w:sz w:val="24"/>
          <w:szCs w:val="24"/>
        </w:rPr>
        <w:t>…….</w:t>
      </w:r>
      <w:r>
        <w:rPr>
          <w:sz w:val="24"/>
          <w:szCs w:val="24"/>
        </w:rPr>
        <w:t>………………………………………………………</w:t>
      </w:r>
      <w:r w:rsidR="003919AE">
        <w:rPr>
          <w:sz w:val="24"/>
          <w:szCs w:val="24"/>
        </w:rPr>
        <w:t>..</w:t>
      </w:r>
      <w:r w:rsidR="00B71570">
        <w:rPr>
          <w:sz w:val="24"/>
          <w:szCs w:val="24"/>
        </w:rPr>
        <w:t>.</w:t>
      </w:r>
      <w:r w:rsidR="003919AE">
        <w:rPr>
          <w:sz w:val="24"/>
          <w:szCs w:val="24"/>
        </w:rPr>
        <w:t>.</w:t>
      </w:r>
      <w:r w:rsidR="00BD17BE">
        <w:rPr>
          <w:sz w:val="24"/>
          <w:szCs w:val="24"/>
        </w:rPr>
        <w:t>2</w:t>
      </w:r>
    </w:p>
    <w:p w14:paraId="47F024C7" w14:textId="77777777" w:rsidR="004000B2" w:rsidRDefault="004000B2" w:rsidP="004000B2">
      <w:pPr>
        <w:pStyle w:val="Header"/>
        <w:tabs>
          <w:tab w:val="clear" w:pos="4320"/>
          <w:tab w:val="clear" w:pos="8640"/>
        </w:tabs>
        <w:ind w:firstLine="720"/>
        <w:jc w:val="both"/>
        <w:rPr>
          <w:sz w:val="24"/>
          <w:szCs w:val="24"/>
        </w:rPr>
      </w:pPr>
      <w:r>
        <w:rPr>
          <w:sz w:val="24"/>
          <w:szCs w:val="24"/>
        </w:rPr>
        <w:t xml:space="preserve">Material Changes to our </w:t>
      </w:r>
      <w:r w:rsidR="00BD17BE">
        <w:rPr>
          <w:sz w:val="24"/>
          <w:szCs w:val="24"/>
        </w:rPr>
        <w:t>Form ADV…………………………………….………………..2</w:t>
      </w:r>
    </w:p>
    <w:p w14:paraId="62BFC992" w14:textId="77777777" w:rsidR="00DF1433" w:rsidRDefault="00DF1433" w:rsidP="00C856BB">
      <w:pPr>
        <w:pStyle w:val="Header"/>
        <w:tabs>
          <w:tab w:val="clear" w:pos="4320"/>
          <w:tab w:val="clear" w:pos="8640"/>
        </w:tabs>
        <w:ind w:firstLine="720"/>
        <w:rPr>
          <w:sz w:val="24"/>
          <w:szCs w:val="24"/>
        </w:rPr>
      </w:pPr>
      <w:r w:rsidRPr="004C4B12">
        <w:rPr>
          <w:sz w:val="24"/>
          <w:szCs w:val="24"/>
        </w:rPr>
        <w:t>Firm Brochure Availability</w:t>
      </w:r>
      <w:r>
        <w:rPr>
          <w:sz w:val="24"/>
          <w:szCs w:val="24"/>
        </w:rPr>
        <w:t>………………………………</w:t>
      </w:r>
      <w:r w:rsidR="00C856BB">
        <w:rPr>
          <w:sz w:val="24"/>
          <w:szCs w:val="24"/>
        </w:rPr>
        <w:t>…………………….</w:t>
      </w:r>
      <w:r>
        <w:rPr>
          <w:sz w:val="24"/>
          <w:szCs w:val="24"/>
        </w:rPr>
        <w:t>…</w:t>
      </w:r>
      <w:r w:rsidR="00BB1B60">
        <w:rPr>
          <w:sz w:val="24"/>
          <w:szCs w:val="24"/>
        </w:rPr>
        <w:t>…</w:t>
      </w:r>
      <w:r w:rsidR="00C856BB">
        <w:rPr>
          <w:sz w:val="24"/>
          <w:szCs w:val="24"/>
        </w:rPr>
        <w:t>…</w:t>
      </w:r>
      <w:r w:rsidR="003919AE">
        <w:rPr>
          <w:sz w:val="24"/>
          <w:szCs w:val="24"/>
        </w:rPr>
        <w:t>.....</w:t>
      </w:r>
      <w:r w:rsidR="00BD17BE">
        <w:rPr>
          <w:sz w:val="24"/>
          <w:szCs w:val="24"/>
        </w:rPr>
        <w:t>2</w:t>
      </w:r>
    </w:p>
    <w:p w14:paraId="72A4D9BA" w14:textId="77777777" w:rsidR="00C856BB" w:rsidRDefault="00C856BB" w:rsidP="00DF1433">
      <w:pPr>
        <w:pStyle w:val="Header"/>
        <w:tabs>
          <w:tab w:val="clear" w:pos="4320"/>
          <w:tab w:val="clear" w:pos="8640"/>
        </w:tabs>
        <w:rPr>
          <w:rFonts w:ascii="Arial" w:hAnsi="Arial" w:cs="Arial"/>
          <w:b/>
          <w:sz w:val="24"/>
          <w:szCs w:val="24"/>
        </w:rPr>
      </w:pPr>
    </w:p>
    <w:p w14:paraId="39419FCB" w14:textId="77777777" w:rsidR="00DF1433" w:rsidRPr="00326093" w:rsidRDefault="00DF1433" w:rsidP="00DF1433">
      <w:pPr>
        <w:pStyle w:val="Header"/>
        <w:tabs>
          <w:tab w:val="clear" w:pos="4320"/>
          <w:tab w:val="clear" w:pos="8640"/>
        </w:tabs>
        <w:rPr>
          <w:rFonts w:ascii="Arial" w:hAnsi="Arial" w:cs="Arial"/>
          <w:b/>
          <w:sz w:val="24"/>
          <w:szCs w:val="24"/>
        </w:rPr>
      </w:pPr>
      <w:r w:rsidRPr="00326093">
        <w:rPr>
          <w:rFonts w:ascii="Arial" w:hAnsi="Arial" w:cs="Arial"/>
          <w:b/>
          <w:sz w:val="24"/>
          <w:szCs w:val="24"/>
        </w:rPr>
        <w:t>Advisory Business</w:t>
      </w:r>
    </w:p>
    <w:p w14:paraId="259C05E4" w14:textId="77777777" w:rsidR="00DF1433" w:rsidRDefault="00DF1433" w:rsidP="00C856BB">
      <w:pPr>
        <w:pStyle w:val="Header"/>
        <w:tabs>
          <w:tab w:val="clear" w:pos="4320"/>
          <w:tab w:val="clear" w:pos="8640"/>
        </w:tabs>
        <w:ind w:firstLine="720"/>
        <w:rPr>
          <w:sz w:val="24"/>
          <w:szCs w:val="24"/>
        </w:rPr>
      </w:pPr>
      <w:r>
        <w:rPr>
          <w:sz w:val="24"/>
          <w:szCs w:val="24"/>
        </w:rPr>
        <w:t>Firm Description</w:t>
      </w:r>
      <w:r w:rsidR="00AB5C10">
        <w:rPr>
          <w:sz w:val="24"/>
          <w:szCs w:val="24"/>
        </w:rPr>
        <w:t>…………………………</w:t>
      </w:r>
      <w:r w:rsidR="00BB1B60">
        <w:rPr>
          <w:sz w:val="24"/>
          <w:szCs w:val="24"/>
        </w:rPr>
        <w:t>…</w:t>
      </w:r>
      <w:r w:rsidR="00C856BB">
        <w:rPr>
          <w:sz w:val="24"/>
          <w:szCs w:val="24"/>
        </w:rPr>
        <w:t>……….………………………</w:t>
      </w:r>
      <w:r w:rsidR="0018009D">
        <w:rPr>
          <w:sz w:val="24"/>
          <w:szCs w:val="24"/>
        </w:rPr>
        <w:t>.</w:t>
      </w:r>
      <w:r w:rsidR="00C856BB">
        <w:rPr>
          <w:sz w:val="24"/>
          <w:szCs w:val="24"/>
        </w:rPr>
        <w:t>…..</w:t>
      </w:r>
      <w:r w:rsidR="00AB5C10">
        <w:rPr>
          <w:sz w:val="24"/>
          <w:szCs w:val="24"/>
        </w:rPr>
        <w:t>…</w:t>
      </w:r>
      <w:r w:rsidR="0018009D">
        <w:rPr>
          <w:sz w:val="24"/>
          <w:szCs w:val="24"/>
        </w:rPr>
        <w:t>.</w:t>
      </w:r>
      <w:r w:rsidR="00C856BB">
        <w:rPr>
          <w:sz w:val="24"/>
          <w:szCs w:val="24"/>
        </w:rPr>
        <w:t>.</w:t>
      </w:r>
      <w:r w:rsidR="003919AE">
        <w:rPr>
          <w:sz w:val="24"/>
          <w:szCs w:val="24"/>
        </w:rPr>
        <w:t>……</w:t>
      </w:r>
      <w:r w:rsidR="004254AE">
        <w:rPr>
          <w:sz w:val="24"/>
          <w:szCs w:val="24"/>
        </w:rPr>
        <w:t>5</w:t>
      </w:r>
    </w:p>
    <w:p w14:paraId="6D9AB8D1" w14:textId="77777777" w:rsidR="00C856BB" w:rsidRDefault="005A32DA" w:rsidP="00C856BB">
      <w:pPr>
        <w:pStyle w:val="Header"/>
        <w:tabs>
          <w:tab w:val="clear" w:pos="4320"/>
          <w:tab w:val="clear" w:pos="8640"/>
        </w:tabs>
        <w:ind w:firstLine="720"/>
        <w:rPr>
          <w:sz w:val="24"/>
          <w:szCs w:val="24"/>
        </w:rPr>
      </w:pPr>
      <w:r>
        <w:rPr>
          <w:sz w:val="24"/>
          <w:szCs w:val="24"/>
        </w:rPr>
        <w:t>Principal</w:t>
      </w:r>
      <w:r w:rsidR="00462B07">
        <w:rPr>
          <w:sz w:val="24"/>
          <w:szCs w:val="24"/>
        </w:rPr>
        <w:t xml:space="preserve"> </w:t>
      </w:r>
      <w:r w:rsidR="00DF1433">
        <w:rPr>
          <w:sz w:val="24"/>
          <w:szCs w:val="24"/>
        </w:rPr>
        <w:t>Owners</w:t>
      </w:r>
      <w:r w:rsidR="00AB5C10">
        <w:rPr>
          <w:sz w:val="24"/>
          <w:szCs w:val="24"/>
        </w:rPr>
        <w:t>……………………………</w:t>
      </w:r>
      <w:r w:rsidR="00BB1B60">
        <w:rPr>
          <w:sz w:val="24"/>
          <w:szCs w:val="24"/>
        </w:rPr>
        <w:t>…</w:t>
      </w:r>
      <w:r w:rsidR="00C856BB">
        <w:rPr>
          <w:sz w:val="24"/>
          <w:szCs w:val="24"/>
        </w:rPr>
        <w:t>……..</w:t>
      </w:r>
      <w:r w:rsidR="007F30B9">
        <w:rPr>
          <w:sz w:val="24"/>
          <w:szCs w:val="24"/>
        </w:rPr>
        <w:t>…</w:t>
      </w:r>
      <w:r w:rsidR="00C856BB">
        <w:rPr>
          <w:sz w:val="24"/>
          <w:szCs w:val="24"/>
        </w:rPr>
        <w:t>………………….</w:t>
      </w:r>
      <w:r>
        <w:rPr>
          <w:sz w:val="24"/>
          <w:szCs w:val="24"/>
        </w:rPr>
        <w:t>……</w:t>
      </w:r>
      <w:r w:rsidR="00C856BB">
        <w:rPr>
          <w:sz w:val="24"/>
          <w:szCs w:val="24"/>
        </w:rPr>
        <w:t>…</w:t>
      </w:r>
      <w:r w:rsidR="0018009D">
        <w:rPr>
          <w:sz w:val="24"/>
          <w:szCs w:val="24"/>
        </w:rPr>
        <w:t>.</w:t>
      </w:r>
      <w:r>
        <w:rPr>
          <w:sz w:val="24"/>
          <w:szCs w:val="24"/>
        </w:rPr>
        <w:t>…</w:t>
      </w:r>
      <w:r w:rsidR="007F30B9">
        <w:rPr>
          <w:sz w:val="24"/>
          <w:szCs w:val="24"/>
        </w:rPr>
        <w:t>..</w:t>
      </w:r>
      <w:r w:rsidR="00BB1B60">
        <w:rPr>
          <w:sz w:val="24"/>
          <w:szCs w:val="24"/>
        </w:rPr>
        <w:t>..</w:t>
      </w:r>
      <w:r w:rsidR="003919AE">
        <w:rPr>
          <w:sz w:val="24"/>
          <w:szCs w:val="24"/>
        </w:rPr>
        <w:t>.</w:t>
      </w:r>
      <w:r w:rsidR="004254AE">
        <w:rPr>
          <w:sz w:val="24"/>
          <w:szCs w:val="24"/>
        </w:rPr>
        <w:t>5</w:t>
      </w:r>
      <w:r w:rsidR="00AB5C10">
        <w:rPr>
          <w:sz w:val="24"/>
          <w:szCs w:val="24"/>
        </w:rPr>
        <w:t xml:space="preserve"> </w:t>
      </w:r>
    </w:p>
    <w:p w14:paraId="63B12495" w14:textId="77777777" w:rsidR="00DF1433" w:rsidRDefault="00DF1433" w:rsidP="00C856BB">
      <w:pPr>
        <w:pStyle w:val="Header"/>
        <w:tabs>
          <w:tab w:val="clear" w:pos="4320"/>
          <w:tab w:val="clear" w:pos="8640"/>
        </w:tabs>
        <w:ind w:firstLine="720"/>
        <w:rPr>
          <w:sz w:val="24"/>
          <w:szCs w:val="24"/>
        </w:rPr>
      </w:pPr>
      <w:r>
        <w:rPr>
          <w:sz w:val="24"/>
          <w:szCs w:val="24"/>
        </w:rPr>
        <w:t>Financial Planning</w:t>
      </w:r>
      <w:r w:rsidR="00AB5C10">
        <w:rPr>
          <w:sz w:val="24"/>
          <w:szCs w:val="24"/>
        </w:rPr>
        <w:t>………………………………</w:t>
      </w:r>
      <w:r w:rsidR="00C856BB">
        <w:rPr>
          <w:sz w:val="24"/>
          <w:szCs w:val="24"/>
        </w:rPr>
        <w:t>.…………</w:t>
      </w:r>
      <w:r w:rsidR="00BB1B60">
        <w:rPr>
          <w:sz w:val="24"/>
          <w:szCs w:val="24"/>
        </w:rPr>
        <w:t>….</w:t>
      </w:r>
      <w:r w:rsidR="00AB5C10">
        <w:rPr>
          <w:sz w:val="24"/>
          <w:szCs w:val="24"/>
        </w:rPr>
        <w:t>…</w:t>
      </w:r>
      <w:r w:rsidR="00C856BB">
        <w:rPr>
          <w:sz w:val="24"/>
          <w:szCs w:val="24"/>
        </w:rPr>
        <w:t>………………….</w:t>
      </w:r>
      <w:r w:rsidR="003919AE">
        <w:rPr>
          <w:sz w:val="24"/>
          <w:szCs w:val="24"/>
        </w:rPr>
        <w:t>……</w:t>
      </w:r>
      <w:r w:rsidR="004254AE">
        <w:rPr>
          <w:sz w:val="24"/>
          <w:szCs w:val="24"/>
        </w:rPr>
        <w:t>5</w:t>
      </w:r>
    </w:p>
    <w:p w14:paraId="1DD54F4F" w14:textId="77777777" w:rsidR="00AB5C10" w:rsidRDefault="00AB5C10" w:rsidP="00C856BB">
      <w:pPr>
        <w:pStyle w:val="Header"/>
        <w:tabs>
          <w:tab w:val="clear" w:pos="4320"/>
          <w:tab w:val="clear" w:pos="8640"/>
        </w:tabs>
        <w:ind w:firstLine="720"/>
        <w:rPr>
          <w:sz w:val="24"/>
          <w:szCs w:val="24"/>
        </w:rPr>
      </w:pPr>
      <w:r>
        <w:rPr>
          <w:sz w:val="24"/>
          <w:szCs w:val="24"/>
        </w:rPr>
        <w:t>Investment Advisory ……………………………</w:t>
      </w:r>
      <w:r w:rsidR="00C856BB">
        <w:rPr>
          <w:sz w:val="24"/>
          <w:szCs w:val="24"/>
        </w:rPr>
        <w:t>.……….</w:t>
      </w:r>
      <w:r w:rsidR="00BB1B60">
        <w:rPr>
          <w:sz w:val="24"/>
          <w:szCs w:val="24"/>
        </w:rPr>
        <w:t>.</w:t>
      </w:r>
      <w:r>
        <w:rPr>
          <w:sz w:val="24"/>
          <w:szCs w:val="24"/>
        </w:rPr>
        <w:t>…</w:t>
      </w:r>
      <w:r w:rsidR="00C856BB">
        <w:rPr>
          <w:sz w:val="24"/>
          <w:szCs w:val="24"/>
        </w:rPr>
        <w:t>……………….………</w:t>
      </w:r>
      <w:r w:rsidR="003919AE">
        <w:rPr>
          <w:sz w:val="24"/>
          <w:szCs w:val="24"/>
        </w:rPr>
        <w:t>…..</w:t>
      </w:r>
      <w:r w:rsidR="004254AE">
        <w:rPr>
          <w:sz w:val="24"/>
          <w:szCs w:val="24"/>
        </w:rPr>
        <w:t>.5</w:t>
      </w:r>
    </w:p>
    <w:p w14:paraId="1B5041C0" w14:textId="77777777" w:rsidR="00DF1433" w:rsidRDefault="00DF1433" w:rsidP="00C856BB">
      <w:pPr>
        <w:pStyle w:val="Header"/>
        <w:tabs>
          <w:tab w:val="clear" w:pos="4320"/>
          <w:tab w:val="clear" w:pos="8640"/>
        </w:tabs>
        <w:ind w:firstLine="720"/>
        <w:rPr>
          <w:sz w:val="24"/>
          <w:szCs w:val="24"/>
        </w:rPr>
      </w:pPr>
      <w:r>
        <w:rPr>
          <w:sz w:val="24"/>
          <w:szCs w:val="24"/>
        </w:rPr>
        <w:t>Retirement Plan Services</w:t>
      </w:r>
      <w:r w:rsidR="00AB5C10">
        <w:rPr>
          <w:sz w:val="24"/>
          <w:szCs w:val="24"/>
        </w:rPr>
        <w:t>……………………………</w:t>
      </w:r>
      <w:r w:rsidR="00C856BB">
        <w:rPr>
          <w:sz w:val="24"/>
          <w:szCs w:val="24"/>
        </w:rPr>
        <w:t>.…………</w:t>
      </w:r>
      <w:r w:rsidR="00BB1B60">
        <w:rPr>
          <w:sz w:val="24"/>
          <w:szCs w:val="24"/>
        </w:rPr>
        <w:t>…</w:t>
      </w:r>
      <w:r w:rsidR="00C856BB">
        <w:rPr>
          <w:sz w:val="24"/>
          <w:szCs w:val="24"/>
        </w:rPr>
        <w:t>………………</w:t>
      </w:r>
      <w:r w:rsidR="003919AE">
        <w:rPr>
          <w:sz w:val="24"/>
          <w:szCs w:val="24"/>
        </w:rPr>
        <w:t>….…...</w:t>
      </w:r>
      <w:r w:rsidR="004254AE">
        <w:rPr>
          <w:sz w:val="24"/>
          <w:szCs w:val="24"/>
        </w:rPr>
        <w:t>6</w:t>
      </w:r>
    </w:p>
    <w:p w14:paraId="70F71121" w14:textId="77777777" w:rsidR="00DF1433" w:rsidRDefault="00DF1433" w:rsidP="00C856BB">
      <w:pPr>
        <w:pStyle w:val="Header"/>
        <w:tabs>
          <w:tab w:val="clear" w:pos="4320"/>
          <w:tab w:val="clear" w:pos="8640"/>
        </w:tabs>
        <w:ind w:firstLine="720"/>
        <w:rPr>
          <w:sz w:val="24"/>
          <w:szCs w:val="24"/>
        </w:rPr>
      </w:pPr>
      <w:r>
        <w:rPr>
          <w:sz w:val="24"/>
          <w:szCs w:val="24"/>
        </w:rPr>
        <w:t>Life Insurance</w:t>
      </w:r>
      <w:r w:rsidR="00C15AFA">
        <w:rPr>
          <w:sz w:val="24"/>
          <w:szCs w:val="24"/>
        </w:rPr>
        <w:t>…………………………………………</w:t>
      </w:r>
      <w:r w:rsidR="00C856BB">
        <w:rPr>
          <w:sz w:val="24"/>
          <w:szCs w:val="24"/>
        </w:rPr>
        <w:t>.…………………….</w:t>
      </w:r>
      <w:r w:rsidR="00C15AFA">
        <w:rPr>
          <w:sz w:val="24"/>
          <w:szCs w:val="24"/>
        </w:rPr>
        <w:t>…</w:t>
      </w:r>
      <w:r w:rsidR="00BB1B60">
        <w:rPr>
          <w:sz w:val="24"/>
          <w:szCs w:val="24"/>
        </w:rPr>
        <w:t>….</w:t>
      </w:r>
      <w:r w:rsidR="003919AE">
        <w:rPr>
          <w:sz w:val="24"/>
          <w:szCs w:val="24"/>
        </w:rPr>
        <w:t>……...</w:t>
      </w:r>
      <w:r w:rsidR="004254AE">
        <w:rPr>
          <w:sz w:val="24"/>
          <w:szCs w:val="24"/>
        </w:rPr>
        <w:t>6</w:t>
      </w:r>
    </w:p>
    <w:p w14:paraId="51590989" w14:textId="003D5251" w:rsidR="00DF1433" w:rsidRDefault="00DF1433" w:rsidP="00C856BB">
      <w:pPr>
        <w:pStyle w:val="Header"/>
        <w:tabs>
          <w:tab w:val="clear" w:pos="4320"/>
          <w:tab w:val="clear" w:pos="8640"/>
        </w:tabs>
        <w:ind w:firstLine="720"/>
        <w:rPr>
          <w:sz w:val="24"/>
          <w:szCs w:val="24"/>
        </w:rPr>
      </w:pPr>
      <w:r>
        <w:rPr>
          <w:sz w:val="24"/>
          <w:szCs w:val="24"/>
        </w:rPr>
        <w:t>Other Services</w:t>
      </w:r>
      <w:r w:rsidR="00C15AFA">
        <w:rPr>
          <w:sz w:val="24"/>
          <w:szCs w:val="24"/>
        </w:rPr>
        <w:t>…………………………………………</w:t>
      </w:r>
      <w:r w:rsidR="00C856BB">
        <w:rPr>
          <w:sz w:val="24"/>
          <w:szCs w:val="24"/>
        </w:rPr>
        <w:t>.</w:t>
      </w:r>
      <w:r w:rsidR="00C15AFA">
        <w:rPr>
          <w:sz w:val="24"/>
          <w:szCs w:val="24"/>
        </w:rPr>
        <w:t>…</w:t>
      </w:r>
      <w:r w:rsidR="00BB1B60">
        <w:rPr>
          <w:sz w:val="24"/>
          <w:szCs w:val="24"/>
        </w:rPr>
        <w:t>…</w:t>
      </w:r>
      <w:r w:rsidR="00C856BB">
        <w:rPr>
          <w:sz w:val="24"/>
          <w:szCs w:val="24"/>
        </w:rPr>
        <w:t>……………………..</w:t>
      </w:r>
      <w:r w:rsidR="00C15AFA">
        <w:rPr>
          <w:sz w:val="24"/>
          <w:szCs w:val="24"/>
        </w:rPr>
        <w:t>…</w:t>
      </w:r>
      <w:r w:rsidR="003919AE">
        <w:rPr>
          <w:sz w:val="24"/>
          <w:szCs w:val="24"/>
        </w:rPr>
        <w:t>…...</w:t>
      </w:r>
      <w:r w:rsidR="004254AE">
        <w:rPr>
          <w:sz w:val="24"/>
          <w:szCs w:val="24"/>
        </w:rPr>
        <w:t>6</w:t>
      </w:r>
    </w:p>
    <w:p w14:paraId="5FCFB1FF" w14:textId="001775AF" w:rsidR="00DF1433" w:rsidRDefault="00DF1433" w:rsidP="00C856BB">
      <w:pPr>
        <w:pStyle w:val="Header"/>
        <w:tabs>
          <w:tab w:val="clear" w:pos="4320"/>
          <w:tab w:val="clear" w:pos="8640"/>
        </w:tabs>
        <w:ind w:firstLine="720"/>
        <w:rPr>
          <w:sz w:val="24"/>
          <w:szCs w:val="24"/>
        </w:rPr>
      </w:pPr>
      <w:r>
        <w:rPr>
          <w:sz w:val="24"/>
          <w:szCs w:val="24"/>
        </w:rPr>
        <w:t>Tailored Recommendations</w:t>
      </w:r>
      <w:r w:rsidR="00C15AFA">
        <w:rPr>
          <w:sz w:val="24"/>
          <w:szCs w:val="24"/>
        </w:rPr>
        <w:t>…………………………………………</w:t>
      </w:r>
      <w:r w:rsidR="00C856BB">
        <w:rPr>
          <w:sz w:val="24"/>
          <w:szCs w:val="24"/>
        </w:rPr>
        <w:t>………………</w:t>
      </w:r>
      <w:r w:rsidR="003919AE">
        <w:rPr>
          <w:sz w:val="24"/>
          <w:szCs w:val="24"/>
        </w:rPr>
        <w:t>.……</w:t>
      </w:r>
      <w:r w:rsidR="00CC7467">
        <w:rPr>
          <w:sz w:val="24"/>
          <w:szCs w:val="24"/>
        </w:rPr>
        <w:t>6</w:t>
      </w:r>
    </w:p>
    <w:p w14:paraId="3DEC6CB0" w14:textId="1F0A5ACC" w:rsidR="00DF1433" w:rsidRDefault="00DF1433" w:rsidP="00C856BB">
      <w:pPr>
        <w:pStyle w:val="Header"/>
        <w:tabs>
          <w:tab w:val="clear" w:pos="4320"/>
          <w:tab w:val="clear" w:pos="8640"/>
        </w:tabs>
        <w:ind w:firstLine="720"/>
        <w:rPr>
          <w:sz w:val="24"/>
          <w:szCs w:val="24"/>
        </w:rPr>
      </w:pPr>
      <w:r>
        <w:rPr>
          <w:sz w:val="24"/>
          <w:szCs w:val="24"/>
        </w:rPr>
        <w:t>Managed Assets</w:t>
      </w:r>
      <w:r w:rsidR="00C15AFA">
        <w:rPr>
          <w:sz w:val="24"/>
          <w:szCs w:val="24"/>
        </w:rPr>
        <w:t>……………….………………………………</w:t>
      </w:r>
      <w:r w:rsidR="00C856BB">
        <w:rPr>
          <w:sz w:val="24"/>
          <w:szCs w:val="24"/>
        </w:rPr>
        <w:t>…………………..</w:t>
      </w:r>
      <w:r w:rsidR="00C15AFA">
        <w:rPr>
          <w:sz w:val="24"/>
          <w:szCs w:val="24"/>
        </w:rPr>
        <w:t>……</w:t>
      </w:r>
      <w:r w:rsidR="003919AE">
        <w:rPr>
          <w:sz w:val="24"/>
          <w:szCs w:val="24"/>
        </w:rPr>
        <w:t>…</w:t>
      </w:r>
      <w:r w:rsidR="00CC7467">
        <w:rPr>
          <w:sz w:val="24"/>
          <w:szCs w:val="24"/>
        </w:rPr>
        <w:t>6</w:t>
      </w:r>
    </w:p>
    <w:p w14:paraId="321268BD" w14:textId="77777777" w:rsidR="00DF1433" w:rsidRDefault="00DF1433" w:rsidP="00C856BB">
      <w:pPr>
        <w:pStyle w:val="Header"/>
        <w:tabs>
          <w:tab w:val="clear" w:pos="4320"/>
          <w:tab w:val="clear" w:pos="8640"/>
        </w:tabs>
        <w:jc w:val="both"/>
        <w:rPr>
          <w:sz w:val="24"/>
          <w:szCs w:val="24"/>
        </w:rPr>
      </w:pPr>
    </w:p>
    <w:p w14:paraId="0748FB79" w14:textId="77777777" w:rsidR="00DF1433" w:rsidRPr="00326093" w:rsidRDefault="00DF1433" w:rsidP="00DF1433">
      <w:pPr>
        <w:pStyle w:val="Header"/>
        <w:tabs>
          <w:tab w:val="clear" w:pos="4320"/>
          <w:tab w:val="clear" w:pos="8640"/>
        </w:tabs>
        <w:rPr>
          <w:rFonts w:ascii="Arial" w:hAnsi="Arial" w:cs="Arial"/>
          <w:b/>
          <w:sz w:val="24"/>
          <w:szCs w:val="24"/>
        </w:rPr>
      </w:pPr>
      <w:r w:rsidRPr="00326093">
        <w:rPr>
          <w:rFonts w:ascii="Arial" w:hAnsi="Arial" w:cs="Arial"/>
          <w:b/>
          <w:sz w:val="24"/>
          <w:szCs w:val="24"/>
        </w:rPr>
        <w:t>Fees and Compensation</w:t>
      </w:r>
    </w:p>
    <w:p w14:paraId="15E3F826" w14:textId="77777777" w:rsidR="00DF1433" w:rsidRDefault="00DF1433" w:rsidP="00C856BB">
      <w:pPr>
        <w:pStyle w:val="Header"/>
        <w:tabs>
          <w:tab w:val="clear" w:pos="4320"/>
          <w:tab w:val="clear" w:pos="8640"/>
        </w:tabs>
        <w:ind w:firstLine="720"/>
        <w:rPr>
          <w:sz w:val="24"/>
          <w:szCs w:val="24"/>
        </w:rPr>
      </w:pPr>
      <w:r>
        <w:rPr>
          <w:sz w:val="24"/>
          <w:szCs w:val="24"/>
        </w:rPr>
        <w:t>Fees and Compensation</w:t>
      </w:r>
      <w:r w:rsidR="00C15AFA">
        <w:rPr>
          <w:sz w:val="24"/>
          <w:szCs w:val="24"/>
        </w:rPr>
        <w:t>…………………………………</w:t>
      </w:r>
      <w:r w:rsidR="00BB1B60">
        <w:rPr>
          <w:sz w:val="24"/>
          <w:szCs w:val="24"/>
        </w:rPr>
        <w:t>…</w:t>
      </w:r>
      <w:r w:rsidR="00D15E8A">
        <w:rPr>
          <w:sz w:val="24"/>
          <w:szCs w:val="24"/>
        </w:rPr>
        <w:t>.…………..………</w:t>
      </w:r>
      <w:r w:rsidR="003919AE">
        <w:rPr>
          <w:sz w:val="24"/>
          <w:szCs w:val="24"/>
        </w:rPr>
        <w:t>…………</w:t>
      </w:r>
      <w:r w:rsidR="004254AE">
        <w:rPr>
          <w:sz w:val="24"/>
          <w:szCs w:val="24"/>
        </w:rPr>
        <w:t>7</w:t>
      </w:r>
    </w:p>
    <w:p w14:paraId="65B37D34" w14:textId="6B49FBA1" w:rsidR="00DF1433" w:rsidRDefault="004254AE" w:rsidP="00C856BB">
      <w:pPr>
        <w:pStyle w:val="Header"/>
        <w:tabs>
          <w:tab w:val="clear" w:pos="4320"/>
          <w:tab w:val="clear" w:pos="8640"/>
        </w:tabs>
        <w:ind w:firstLine="720"/>
        <w:rPr>
          <w:sz w:val="24"/>
          <w:szCs w:val="24"/>
        </w:rPr>
      </w:pPr>
      <w:r>
        <w:rPr>
          <w:sz w:val="24"/>
          <w:szCs w:val="24"/>
        </w:rPr>
        <w:t>Financial Planning</w:t>
      </w:r>
      <w:r w:rsidR="00C15AFA">
        <w:rPr>
          <w:sz w:val="24"/>
          <w:szCs w:val="24"/>
        </w:rPr>
        <w:t>………………………………………</w:t>
      </w:r>
      <w:r w:rsidR="00BB1B60">
        <w:rPr>
          <w:sz w:val="24"/>
          <w:szCs w:val="24"/>
        </w:rPr>
        <w:t>……...</w:t>
      </w:r>
      <w:r w:rsidR="00C15AFA">
        <w:rPr>
          <w:sz w:val="24"/>
          <w:szCs w:val="24"/>
        </w:rPr>
        <w:t>……</w:t>
      </w:r>
      <w:r w:rsidR="00D15E8A">
        <w:rPr>
          <w:sz w:val="24"/>
          <w:szCs w:val="24"/>
        </w:rPr>
        <w:t>…………</w:t>
      </w:r>
      <w:r>
        <w:rPr>
          <w:sz w:val="24"/>
          <w:szCs w:val="24"/>
        </w:rPr>
        <w:t>....</w:t>
      </w:r>
      <w:r w:rsidR="00BB1B60">
        <w:rPr>
          <w:sz w:val="24"/>
          <w:szCs w:val="24"/>
        </w:rPr>
        <w:t>.</w:t>
      </w:r>
      <w:r w:rsidR="00C15AFA">
        <w:rPr>
          <w:sz w:val="24"/>
          <w:szCs w:val="24"/>
        </w:rPr>
        <w:t>……</w:t>
      </w:r>
      <w:r w:rsidR="003919AE">
        <w:rPr>
          <w:sz w:val="24"/>
          <w:szCs w:val="24"/>
        </w:rPr>
        <w:t>...</w:t>
      </w:r>
      <w:r w:rsidR="00CC7467">
        <w:rPr>
          <w:sz w:val="24"/>
          <w:szCs w:val="24"/>
        </w:rPr>
        <w:t>7</w:t>
      </w:r>
    </w:p>
    <w:p w14:paraId="31D724F5" w14:textId="10474DD2" w:rsidR="00821E43" w:rsidRDefault="004254AE" w:rsidP="00C856BB">
      <w:pPr>
        <w:pStyle w:val="Header"/>
        <w:tabs>
          <w:tab w:val="clear" w:pos="4320"/>
          <w:tab w:val="clear" w:pos="8640"/>
        </w:tabs>
        <w:ind w:firstLine="720"/>
        <w:rPr>
          <w:sz w:val="24"/>
          <w:szCs w:val="24"/>
        </w:rPr>
      </w:pPr>
      <w:r>
        <w:rPr>
          <w:sz w:val="24"/>
          <w:szCs w:val="24"/>
        </w:rPr>
        <w:t>Other Fees</w:t>
      </w:r>
      <w:r w:rsidR="00821E43">
        <w:rPr>
          <w:sz w:val="24"/>
          <w:szCs w:val="24"/>
        </w:rPr>
        <w:t>…………………………………</w:t>
      </w:r>
      <w:r w:rsidR="00D15E8A">
        <w:rPr>
          <w:sz w:val="24"/>
          <w:szCs w:val="24"/>
        </w:rPr>
        <w:t>……………………</w:t>
      </w:r>
      <w:r w:rsidR="003919AE">
        <w:rPr>
          <w:sz w:val="24"/>
          <w:szCs w:val="24"/>
        </w:rPr>
        <w:t>…………………...</w:t>
      </w:r>
      <w:r>
        <w:rPr>
          <w:sz w:val="24"/>
          <w:szCs w:val="24"/>
        </w:rPr>
        <w:t>......</w:t>
      </w:r>
      <w:r w:rsidR="003919AE">
        <w:rPr>
          <w:sz w:val="24"/>
          <w:szCs w:val="24"/>
        </w:rPr>
        <w:t>...</w:t>
      </w:r>
      <w:r w:rsidR="00CC7467">
        <w:rPr>
          <w:sz w:val="24"/>
          <w:szCs w:val="24"/>
        </w:rPr>
        <w:t>7</w:t>
      </w:r>
    </w:p>
    <w:p w14:paraId="25B1A884" w14:textId="1A812E5C" w:rsidR="004254AE" w:rsidRDefault="004254AE" w:rsidP="004254AE">
      <w:pPr>
        <w:pStyle w:val="Header"/>
        <w:tabs>
          <w:tab w:val="clear" w:pos="4320"/>
          <w:tab w:val="clear" w:pos="8640"/>
        </w:tabs>
        <w:ind w:firstLine="720"/>
        <w:rPr>
          <w:sz w:val="24"/>
          <w:szCs w:val="24"/>
        </w:rPr>
      </w:pPr>
      <w:r>
        <w:rPr>
          <w:sz w:val="24"/>
          <w:szCs w:val="24"/>
        </w:rPr>
        <w:t>Life Insurance…………………………………………………………………………......</w:t>
      </w:r>
      <w:r w:rsidR="00CC7467">
        <w:rPr>
          <w:sz w:val="24"/>
          <w:szCs w:val="24"/>
        </w:rPr>
        <w:t>7</w:t>
      </w:r>
    </w:p>
    <w:p w14:paraId="2B9A9DCE" w14:textId="77777777" w:rsidR="004254AE" w:rsidRDefault="004254AE" w:rsidP="00C856BB">
      <w:pPr>
        <w:pStyle w:val="Header"/>
        <w:tabs>
          <w:tab w:val="clear" w:pos="4320"/>
          <w:tab w:val="clear" w:pos="8640"/>
        </w:tabs>
        <w:ind w:firstLine="720"/>
        <w:rPr>
          <w:sz w:val="24"/>
          <w:szCs w:val="24"/>
        </w:rPr>
      </w:pPr>
    </w:p>
    <w:p w14:paraId="65A4B71C" w14:textId="68DC3452" w:rsidR="00DF1433" w:rsidRDefault="00DF1433" w:rsidP="00C856BB">
      <w:pPr>
        <w:pStyle w:val="Header"/>
        <w:tabs>
          <w:tab w:val="clear" w:pos="4320"/>
          <w:tab w:val="clear" w:pos="8640"/>
        </w:tabs>
        <w:ind w:firstLine="720"/>
        <w:rPr>
          <w:sz w:val="24"/>
          <w:szCs w:val="24"/>
        </w:rPr>
      </w:pPr>
      <w:r>
        <w:rPr>
          <w:sz w:val="24"/>
          <w:szCs w:val="24"/>
        </w:rPr>
        <w:t>Termination</w:t>
      </w:r>
      <w:r w:rsidR="00C15AFA">
        <w:rPr>
          <w:sz w:val="24"/>
          <w:szCs w:val="24"/>
        </w:rPr>
        <w:t>………………………………</w:t>
      </w:r>
      <w:r w:rsidR="00BB1B60">
        <w:rPr>
          <w:sz w:val="24"/>
          <w:szCs w:val="24"/>
        </w:rPr>
        <w:t>…</w:t>
      </w:r>
      <w:r w:rsidR="00C15AFA">
        <w:rPr>
          <w:sz w:val="24"/>
          <w:szCs w:val="24"/>
        </w:rPr>
        <w:t>…</w:t>
      </w:r>
      <w:r w:rsidR="00BB1B60">
        <w:rPr>
          <w:sz w:val="24"/>
          <w:szCs w:val="24"/>
        </w:rPr>
        <w:t>….</w:t>
      </w:r>
      <w:r w:rsidR="00C15AFA">
        <w:rPr>
          <w:sz w:val="24"/>
          <w:szCs w:val="24"/>
        </w:rPr>
        <w:t>…</w:t>
      </w:r>
      <w:r w:rsidR="00D15E8A">
        <w:rPr>
          <w:sz w:val="24"/>
          <w:szCs w:val="24"/>
        </w:rPr>
        <w:t>…………………………</w:t>
      </w:r>
      <w:r w:rsidR="00C15AFA">
        <w:rPr>
          <w:sz w:val="24"/>
          <w:szCs w:val="24"/>
        </w:rPr>
        <w:t>………</w:t>
      </w:r>
      <w:r w:rsidR="003919AE">
        <w:rPr>
          <w:sz w:val="24"/>
          <w:szCs w:val="24"/>
        </w:rPr>
        <w:t>….</w:t>
      </w:r>
      <w:r w:rsidR="00CC7467">
        <w:rPr>
          <w:sz w:val="24"/>
          <w:szCs w:val="24"/>
        </w:rPr>
        <w:t>7</w:t>
      </w:r>
    </w:p>
    <w:p w14:paraId="7B118DC0" w14:textId="77777777" w:rsidR="00DF1433" w:rsidRPr="00326093" w:rsidRDefault="00DF1433" w:rsidP="00DF1433">
      <w:pPr>
        <w:pStyle w:val="Header"/>
        <w:tabs>
          <w:tab w:val="clear" w:pos="4320"/>
          <w:tab w:val="clear" w:pos="8640"/>
        </w:tabs>
        <w:ind w:firstLine="720"/>
        <w:rPr>
          <w:rFonts w:ascii="Arial" w:hAnsi="Arial" w:cs="Arial"/>
          <w:sz w:val="24"/>
          <w:szCs w:val="24"/>
        </w:rPr>
      </w:pPr>
    </w:p>
    <w:p w14:paraId="6B78041F" w14:textId="77777777" w:rsidR="00DF1433" w:rsidRPr="00326093" w:rsidRDefault="00DF1433" w:rsidP="00DF1433">
      <w:pPr>
        <w:pStyle w:val="Header"/>
        <w:tabs>
          <w:tab w:val="clear" w:pos="4320"/>
          <w:tab w:val="clear" w:pos="8640"/>
        </w:tabs>
        <w:rPr>
          <w:rFonts w:ascii="Arial" w:hAnsi="Arial" w:cs="Arial"/>
          <w:b/>
          <w:sz w:val="24"/>
          <w:szCs w:val="24"/>
        </w:rPr>
      </w:pPr>
      <w:r w:rsidRPr="00326093">
        <w:rPr>
          <w:rFonts w:ascii="Arial" w:hAnsi="Arial" w:cs="Arial"/>
          <w:b/>
          <w:sz w:val="24"/>
          <w:szCs w:val="24"/>
        </w:rPr>
        <w:t>Performance Based Fees</w:t>
      </w:r>
    </w:p>
    <w:p w14:paraId="7642FF63" w14:textId="62D010C4" w:rsidR="00DF1433" w:rsidRDefault="00DF1433" w:rsidP="00C856BB">
      <w:pPr>
        <w:pStyle w:val="Header"/>
        <w:tabs>
          <w:tab w:val="clear" w:pos="4320"/>
          <w:tab w:val="clear" w:pos="8640"/>
        </w:tabs>
        <w:ind w:firstLine="720"/>
        <w:rPr>
          <w:sz w:val="24"/>
          <w:szCs w:val="24"/>
        </w:rPr>
      </w:pPr>
      <w:r>
        <w:rPr>
          <w:sz w:val="24"/>
          <w:szCs w:val="24"/>
        </w:rPr>
        <w:t>Performance Based Fees</w:t>
      </w:r>
      <w:r w:rsidR="00C15AFA">
        <w:rPr>
          <w:sz w:val="24"/>
          <w:szCs w:val="24"/>
        </w:rPr>
        <w:t>………………………</w:t>
      </w:r>
      <w:r w:rsidR="00BB1B60">
        <w:rPr>
          <w:sz w:val="24"/>
          <w:szCs w:val="24"/>
        </w:rPr>
        <w:t>……</w:t>
      </w:r>
      <w:r w:rsidR="00D15E8A">
        <w:rPr>
          <w:sz w:val="24"/>
          <w:szCs w:val="24"/>
        </w:rPr>
        <w:t>…..……………………</w:t>
      </w:r>
      <w:r w:rsidR="0018009D">
        <w:rPr>
          <w:sz w:val="24"/>
          <w:szCs w:val="24"/>
        </w:rPr>
        <w:t>.</w:t>
      </w:r>
      <w:r w:rsidR="00D15E8A">
        <w:rPr>
          <w:sz w:val="24"/>
          <w:szCs w:val="24"/>
        </w:rPr>
        <w:t>…..</w:t>
      </w:r>
      <w:r w:rsidR="00C15AFA">
        <w:rPr>
          <w:sz w:val="24"/>
          <w:szCs w:val="24"/>
        </w:rPr>
        <w:t>…</w:t>
      </w:r>
      <w:r w:rsidR="00BB1B60">
        <w:rPr>
          <w:sz w:val="24"/>
          <w:szCs w:val="24"/>
        </w:rPr>
        <w:t>..…</w:t>
      </w:r>
      <w:r w:rsidR="00C15AFA">
        <w:rPr>
          <w:sz w:val="24"/>
          <w:szCs w:val="24"/>
        </w:rPr>
        <w:t>.</w:t>
      </w:r>
      <w:r w:rsidR="003919AE">
        <w:rPr>
          <w:sz w:val="24"/>
          <w:szCs w:val="24"/>
        </w:rPr>
        <w:t>..</w:t>
      </w:r>
      <w:r w:rsidR="00CC7467">
        <w:rPr>
          <w:sz w:val="24"/>
          <w:szCs w:val="24"/>
        </w:rPr>
        <w:t>8</w:t>
      </w:r>
    </w:p>
    <w:p w14:paraId="034C68FD" w14:textId="77777777" w:rsidR="00DF1433" w:rsidRDefault="00DF1433" w:rsidP="00DF1433">
      <w:pPr>
        <w:pStyle w:val="Header"/>
        <w:tabs>
          <w:tab w:val="clear" w:pos="4320"/>
          <w:tab w:val="clear" w:pos="8640"/>
        </w:tabs>
        <w:rPr>
          <w:sz w:val="24"/>
          <w:szCs w:val="24"/>
        </w:rPr>
      </w:pPr>
    </w:p>
    <w:p w14:paraId="2564544E" w14:textId="77777777" w:rsidR="00DF1433" w:rsidRPr="00326093" w:rsidRDefault="00DF1433" w:rsidP="00DF1433">
      <w:pPr>
        <w:pStyle w:val="Header"/>
        <w:tabs>
          <w:tab w:val="clear" w:pos="4320"/>
          <w:tab w:val="clear" w:pos="8640"/>
        </w:tabs>
        <w:rPr>
          <w:rFonts w:ascii="Arial" w:hAnsi="Arial" w:cs="Arial"/>
          <w:b/>
          <w:sz w:val="24"/>
          <w:szCs w:val="24"/>
        </w:rPr>
      </w:pPr>
      <w:r w:rsidRPr="00326093">
        <w:rPr>
          <w:rFonts w:ascii="Arial" w:hAnsi="Arial" w:cs="Arial"/>
          <w:b/>
          <w:sz w:val="24"/>
          <w:szCs w:val="24"/>
        </w:rPr>
        <w:t>Types of Clients</w:t>
      </w:r>
    </w:p>
    <w:p w14:paraId="1502F621" w14:textId="63202D61" w:rsidR="00DF1433" w:rsidRDefault="00DF1433" w:rsidP="00C856BB">
      <w:pPr>
        <w:pStyle w:val="Header"/>
        <w:tabs>
          <w:tab w:val="clear" w:pos="4320"/>
          <w:tab w:val="clear" w:pos="8640"/>
        </w:tabs>
        <w:ind w:firstLine="720"/>
        <w:rPr>
          <w:sz w:val="24"/>
          <w:szCs w:val="24"/>
        </w:rPr>
      </w:pPr>
      <w:r>
        <w:rPr>
          <w:sz w:val="24"/>
          <w:szCs w:val="24"/>
        </w:rPr>
        <w:t>Types of Clients</w:t>
      </w:r>
      <w:r w:rsidR="00C15AFA">
        <w:rPr>
          <w:sz w:val="24"/>
          <w:szCs w:val="24"/>
        </w:rPr>
        <w:t>…………………………</w:t>
      </w:r>
      <w:r w:rsidR="00BB1B60">
        <w:rPr>
          <w:sz w:val="24"/>
          <w:szCs w:val="24"/>
        </w:rPr>
        <w:t>…….</w:t>
      </w:r>
      <w:r w:rsidR="00C15AFA">
        <w:rPr>
          <w:sz w:val="24"/>
          <w:szCs w:val="24"/>
        </w:rPr>
        <w:t>……</w:t>
      </w:r>
      <w:r w:rsidR="00D15E8A">
        <w:rPr>
          <w:sz w:val="24"/>
          <w:szCs w:val="24"/>
        </w:rPr>
        <w:t>………………………………</w:t>
      </w:r>
      <w:r w:rsidR="00C15AFA">
        <w:rPr>
          <w:sz w:val="24"/>
          <w:szCs w:val="24"/>
        </w:rPr>
        <w:t>……</w:t>
      </w:r>
      <w:r w:rsidR="003919AE">
        <w:rPr>
          <w:sz w:val="24"/>
          <w:szCs w:val="24"/>
        </w:rPr>
        <w:t>..</w:t>
      </w:r>
      <w:r w:rsidR="00CC7467">
        <w:rPr>
          <w:sz w:val="24"/>
          <w:szCs w:val="24"/>
        </w:rPr>
        <w:t>8</w:t>
      </w:r>
    </w:p>
    <w:p w14:paraId="2DA9068A" w14:textId="77777777" w:rsidR="00DF1433" w:rsidRDefault="00DF1433" w:rsidP="00DF1433">
      <w:pPr>
        <w:pStyle w:val="Header"/>
        <w:tabs>
          <w:tab w:val="clear" w:pos="4320"/>
          <w:tab w:val="clear" w:pos="8640"/>
        </w:tabs>
        <w:rPr>
          <w:sz w:val="24"/>
          <w:szCs w:val="24"/>
        </w:rPr>
      </w:pPr>
    </w:p>
    <w:p w14:paraId="486C989A" w14:textId="77777777" w:rsidR="00DF1433" w:rsidRPr="00402198" w:rsidRDefault="00DF1433" w:rsidP="00DF1433">
      <w:pPr>
        <w:pStyle w:val="Header"/>
        <w:tabs>
          <w:tab w:val="clear" w:pos="4320"/>
          <w:tab w:val="clear" w:pos="8640"/>
        </w:tabs>
        <w:rPr>
          <w:rFonts w:ascii="Arial" w:hAnsi="Arial" w:cs="Arial"/>
          <w:b/>
          <w:sz w:val="24"/>
          <w:szCs w:val="24"/>
        </w:rPr>
      </w:pPr>
      <w:r w:rsidRPr="00402198">
        <w:rPr>
          <w:rFonts w:ascii="Arial" w:hAnsi="Arial" w:cs="Arial"/>
          <w:b/>
          <w:sz w:val="24"/>
          <w:szCs w:val="24"/>
        </w:rPr>
        <w:t>Methods of Analysis, Investment Strategies and Risk of Loss</w:t>
      </w:r>
    </w:p>
    <w:p w14:paraId="092715D4" w14:textId="77777777" w:rsidR="00DF1433" w:rsidRDefault="00DF1433" w:rsidP="00C856BB">
      <w:pPr>
        <w:pStyle w:val="Header"/>
        <w:tabs>
          <w:tab w:val="clear" w:pos="4320"/>
          <w:tab w:val="clear" w:pos="8640"/>
        </w:tabs>
        <w:ind w:firstLine="720"/>
        <w:rPr>
          <w:sz w:val="24"/>
          <w:szCs w:val="24"/>
        </w:rPr>
      </w:pPr>
      <w:r>
        <w:rPr>
          <w:sz w:val="24"/>
          <w:szCs w:val="24"/>
        </w:rPr>
        <w:t>Investment Strategy</w:t>
      </w:r>
      <w:r w:rsidR="00C15AFA">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4254AE">
        <w:rPr>
          <w:sz w:val="24"/>
          <w:szCs w:val="24"/>
        </w:rPr>
        <w:t>8</w:t>
      </w:r>
    </w:p>
    <w:p w14:paraId="3B7D1D3D" w14:textId="6479DDF1" w:rsidR="00DF1433" w:rsidRDefault="00DF1433" w:rsidP="00C856BB">
      <w:pPr>
        <w:pStyle w:val="Header"/>
        <w:tabs>
          <w:tab w:val="clear" w:pos="4320"/>
          <w:tab w:val="clear" w:pos="8640"/>
        </w:tabs>
        <w:ind w:firstLine="720"/>
        <w:rPr>
          <w:sz w:val="24"/>
          <w:szCs w:val="24"/>
        </w:rPr>
      </w:pPr>
      <w:r>
        <w:rPr>
          <w:sz w:val="24"/>
          <w:szCs w:val="24"/>
        </w:rPr>
        <w:t>Methods of Analysis</w:t>
      </w:r>
      <w:r w:rsidR="00C15AFA">
        <w:rPr>
          <w:sz w:val="24"/>
          <w:szCs w:val="24"/>
        </w:rPr>
        <w:t>………………………………</w:t>
      </w:r>
      <w:r w:rsidR="00BB1B60">
        <w:rPr>
          <w:sz w:val="24"/>
          <w:szCs w:val="24"/>
        </w:rPr>
        <w:t>……</w:t>
      </w:r>
      <w:r w:rsidR="00D15E8A">
        <w:rPr>
          <w:sz w:val="24"/>
          <w:szCs w:val="24"/>
        </w:rPr>
        <w:t>………………………….</w:t>
      </w:r>
      <w:r w:rsidR="00C15AFA">
        <w:rPr>
          <w:sz w:val="24"/>
          <w:szCs w:val="24"/>
        </w:rPr>
        <w:t>…</w:t>
      </w:r>
      <w:r w:rsidR="00BB1B60">
        <w:rPr>
          <w:sz w:val="24"/>
          <w:szCs w:val="24"/>
        </w:rPr>
        <w:t>.</w:t>
      </w:r>
      <w:r w:rsidR="00C15AFA">
        <w:rPr>
          <w:sz w:val="24"/>
          <w:szCs w:val="24"/>
        </w:rPr>
        <w:t>…</w:t>
      </w:r>
      <w:r w:rsidR="003919AE">
        <w:rPr>
          <w:sz w:val="24"/>
          <w:szCs w:val="24"/>
        </w:rPr>
        <w:t>..</w:t>
      </w:r>
      <w:r w:rsidR="00CC7467">
        <w:rPr>
          <w:sz w:val="24"/>
          <w:szCs w:val="24"/>
        </w:rPr>
        <w:t>8</w:t>
      </w:r>
    </w:p>
    <w:p w14:paraId="49D781FB" w14:textId="3244627C" w:rsidR="00DF1433" w:rsidRDefault="00DF1433" w:rsidP="00C856BB">
      <w:pPr>
        <w:pStyle w:val="Header"/>
        <w:tabs>
          <w:tab w:val="clear" w:pos="4320"/>
          <w:tab w:val="clear" w:pos="8640"/>
        </w:tabs>
        <w:ind w:firstLine="720"/>
        <w:rPr>
          <w:sz w:val="24"/>
          <w:szCs w:val="24"/>
        </w:rPr>
      </w:pPr>
      <w:r>
        <w:rPr>
          <w:sz w:val="24"/>
          <w:szCs w:val="24"/>
        </w:rPr>
        <w:t>Investment Risk</w:t>
      </w:r>
      <w:r w:rsidR="00C15AFA">
        <w:rPr>
          <w:sz w:val="24"/>
          <w:szCs w:val="24"/>
        </w:rPr>
        <w:t>…………………………………………</w:t>
      </w:r>
      <w:r w:rsidR="00D15E8A">
        <w:rPr>
          <w:sz w:val="24"/>
          <w:szCs w:val="24"/>
        </w:rPr>
        <w:t>……………………</w:t>
      </w:r>
      <w:r w:rsidR="00BB1B60">
        <w:rPr>
          <w:sz w:val="24"/>
          <w:szCs w:val="24"/>
        </w:rPr>
        <w:t>..</w:t>
      </w:r>
      <w:r w:rsidR="00C15AFA">
        <w:rPr>
          <w:sz w:val="24"/>
          <w:szCs w:val="24"/>
        </w:rPr>
        <w:t>…</w:t>
      </w:r>
      <w:r w:rsidR="00BB1B60">
        <w:rPr>
          <w:sz w:val="24"/>
          <w:szCs w:val="24"/>
        </w:rPr>
        <w:t>..</w:t>
      </w:r>
      <w:r w:rsidR="00C15AFA">
        <w:rPr>
          <w:sz w:val="24"/>
          <w:szCs w:val="24"/>
        </w:rPr>
        <w:t>…</w:t>
      </w:r>
      <w:r w:rsidR="00BB1B60">
        <w:rPr>
          <w:sz w:val="24"/>
          <w:szCs w:val="24"/>
        </w:rPr>
        <w:t>.</w:t>
      </w:r>
      <w:r w:rsidR="00C15AFA">
        <w:rPr>
          <w:sz w:val="24"/>
          <w:szCs w:val="24"/>
        </w:rPr>
        <w:t>…</w:t>
      </w:r>
      <w:r w:rsidR="003919AE">
        <w:rPr>
          <w:sz w:val="24"/>
          <w:szCs w:val="24"/>
        </w:rPr>
        <w:t>..</w:t>
      </w:r>
      <w:r w:rsidR="00CC7467">
        <w:rPr>
          <w:sz w:val="24"/>
          <w:szCs w:val="24"/>
        </w:rPr>
        <w:t>8</w:t>
      </w:r>
    </w:p>
    <w:p w14:paraId="6BA24556" w14:textId="77777777" w:rsidR="00DF1433" w:rsidRDefault="00DF1433" w:rsidP="00DF1433">
      <w:pPr>
        <w:pStyle w:val="Header"/>
        <w:tabs>
          <w:tab w:val="clear" w:pos="4320"/>
          <w:tab w:val="clear" w:pos="8640"/>
        </w:tabs>
        <w:rPr>
          <w:sz w:val="24"/>
          <w:szCs w:val="24"/>
        </w:rPr>
      </w:pPr>
    </w:p>
    <w:p w14:paraId="4B4AD533" w14:textId="77777777" w:rsidR="00DF1433" w:rsidRPr="00402198" w:rsidRDefault="00DF1433" w:rsidP="00DF1433">
      <w:pPr>
        <w:pStyle w:val="Header"/>
        <w:tabs>
          <w:tab w:val="clear" w:pos="4320"/>
          <w:tab w:val="clear" w:pos="8640"/>
        </w:tabs>
        <w:rPr>
          <w:rFonts w:ascii="Arial" w:hAnsi="Arial" w:cs="Arial"/>
          <w:b/>
          <w:sz w:val="24"/>
          <w:szCs w:val="24"/>
        </w:rPr>
      </w:pPr>
      <w:r w:rsidRPr="00402198">
        <w:rPr>
          <w:rFonts w:ascii="Arial" w:hAnsi="Arial" w:cs="Arial"/>
          <w:b/>
          <w:sz w:val="24"/>
          <w:szCs w:val="24"/>
        </w:rPr>
        <w:t>Disciplinary Information</w:t>
      </w:r>
    </w:p>
    <w:p w14:paraId="10E1E12B" w14:textId="0482F329" w:rsidR="00DF1433" w:rsidRDefault="00DF1433" w:rsidP="00C856BB">
      <w:pPr>
        <w:pStyle w:val="Header"/>
        <w:tabs>
          <w:tab w:val="clear" w:pos="4320"/>
          <w:tab w:val="clear" w:pos="8640"/>
        </w:tabs>
        <w:ind w:firstLine="720"/>
        <w:rPr>
          <w:sz w:val="24"/>
          <w:szCs w:val="24"/>
        </w:rPr>
      </w:pPr>
      <w:r>
        <w:rPr>
          <w:sz w:val="24"/>
          <w:szCs w:val="24"/>
        </w:rPr>
        <w:t>Disciplinary Information</w:t>
      </w:r>
      <w:r w:rsidR="00C15AFA">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CC7467">
        <w:rPr>
          <w:sz w:val="24"/>
          <w:szCs w:val="24"/>
        </w:rPr>
        <w:t>8</w:t>
      </w:r>
    </w:p>
    <w:p w14:paraId="4487E7B7" w14:textId="77777777" w:rsidR="00DF1433" w:rsidRDefault="00DF1433" w:rsidP="00DF1433">
      <w:pPr>
        <w:pStyle w:val="Header"/>
        <w:tabs>
          <w:tab w:val="clear" w:pos="4320"/>
          <w:tab w:val="clear" w:pos="8640"/>
        </w:tabs>
        <w:rPr>
          <w:sz w:val="24"/>
          <w:szCs w:val="24"/>
        </w:rPr>
      </w:pPr>
    </w:p>
    <w:p w14:paraId="2CD1410E" w14:textId="77777777" w:rsidR="00DF1433" w:rsidRPr="00402198" w:rsidRDefault="00DF1433" w:rsidP="00DF1433">
      <w:pPr>
        <w:pStyle w:val="Header"/>
        <w:tabs>
          <w:tab w:val="clear" w:pos="4320"/>
          <w:tab w:val="clear" w:pos="8640"/>
        </w:tabs>
        <w:rPr>
          <w:rFonts w:ascii="Arial" w:hAnsi="Arial" w:cs="Arial"/>
          <w:b/>
          <w:sz w:val="24"/>
          <w:szCs w:val="24"/>
        </w:rPr>
      </w:pPr>
      <w:r w:rsidRPr="00402198">
        <w:rPr>
          <w:rFonts w:ascii="Arial" w:hAnsi="Arial" w:cs="Arial"/>
          <w:b/>
          <w:sz w:val="24"/>
          <w:szCs w:val="24"/>
        </w:rPr>
        <w:t>Other Financial Industry Activities and Affiliations</w:t>
      </w:r>
    </w:p>
    <w:p w14:paraId="72B98D4D" w14:textId="77777777" w:rsidR="00DF1433" w:rsidRDefault="004254AE" w:rsidP="00C856BB">
      <w:pPr>
        <w:pStyle w:val="Header"/>
        <w:tabs>
          <w:tab w:val="clear" w:pos="4320"/>
          <w:tab w:val="clear" w:pos="8640"/>
        </w:tabs>
        <w:ind w:firstLine="720"/>
        <w:rPr>
          <w:sz w:val="24"/>
          <w:szCs w:val="24"/>
        </w:rPr>
      </w:pPr>
      <w:r>
        <w:rPr>
          <w:sz w:val="24"/>
          <w:szCs w:val="24"/>
        </w:rPr>
        <w:t>Other Activities or A</w:t>
      </w:r>
      <w:r w:rsidR="00B94B5B">
        <w:rPr>
          <w:sz w:val="24"/>
          <w:szCs w:val="24"/>
        </w:rPr>
        <w:t>ffiliations………………................</w:t>
      </w:r>
      <w:r>
        <w:rPr>
          <w:sz w:val="24"/>
          <w:szCs w:val="24"/>
        </w:rPr>
        <w:t>..............................</w:t>
      </w:r>
      <w:r w:rsidR="00B94B5B">
        <w:rPr>
          <w:sz w:val="24"/>
          <w:szCs w:val="24"/>
        </w:rPr>
        <w:t>.….......</w:t>
      </w:r>
      <w:r w:rsidR="00D15E8A">
        <w:rPr>
          <w:sz w:val="24"/>
          <w:szCs w:val="24"/>
        </w:rPr>
        <w:t>…</w:t>
      </w:r>
      <w:r w:rsidR="003919AE">
        <w:rPr>
          <w:sz w:val="24"/>
          <w:szCs w:val="24"/>
        </w:rPr>
        <w:t>.</w:t>
      </w:r>
      <w:r w:rsidR="00D15E8A">
        <w:rPr>
          <w:sz w:val="24"/>
          <w:szCs w:val="24"/>
        </w:rPr>
        <w:t>…</w:t>
      </w:r>
      <w:r w:rsidR="003919AE">
        <w:rPr>
          <w:sz w:val="24"/>
          <w:szCs w:val="24"/>
        </w:rPr>
        <w:t>.</w:t>
      </w:r>
      <w:r>
        <w:rPr>
          <w:sz w:val="24"/>
          <w:szCs w:val="24"/>
        </w:rPr>
        <w:t>9</w:t>
      </w:r>
      <w:r w:rsidR="00B94B5B">
        <w:rPr>
          <w:sz w:val="24"/>
          <w:szCs w:val="24"/>
        </w:rPr>
        <w:t xml:space="preserve"> </w:t>
      </w:r>
    </w:p>
    <w:p w14:paraId="2524222A" w14:textId="77777777" w:rsidR="00DF1433" w:rsidRDefault="00DF1433" w:rsidP="00182398">
      <w:pPr>
        <w:pStyle w:val="Header"/>
        <w:tabs>
          <w:tab w:val="clear" w:pos="4320"/>
          <w:tab w:val="clear" w:pos="8640"/>
        </w:tabs>
        <w:jc w:val="center"/>
        <w:rPr>
          <w:sz w:val="24"/>
          <w:szCs w:val="24"/>
        </w:rPr>
      </w:pPr>
    </w:p>
    <w:p w14:paraId="763F69E4" w14:textId="77777777" w:rsidR="00DF1433" w:rsidRDefault="00DF1433" w:rsidP="00DF1433">
      <w:pPr>
        <w:pStyle w:val="Header"/>
        <w:tabs>
          <w:tab w:val="clear" w:pos="4320"/>
          <w:tab w:val="clear" w:pos="8640"/>
        </w:tabs>
        <w:rPr>
          <w:rFonts w:ascii="Arial" w:hAnsi="Arial" w:cs="Arial"/>
          <w:b/>
          <w:sz w:val="24"/>
          <w:szCs w:val="24"/>
        </w:rPr>
      </w:pPr>
      <w:r w:rsidRPr="00402198">
        <w:rPr>
          <w:rFonts w:ascii="Arial" w:hAnsi="Arial" w:cs="Arial"/>
          <w:b/>
          <w:sz w:val="24"/>
          <w:szCs w:val="24"/>
        </w:rPr>
        <w:t>Code of Ethics, Participation or Interest in Client Transactions and Personal Trading</w:t>
      </w:r>
    </w:p>
    <w:p w14:paraId="79CE385A" w14:textId="77777777" w:rsidR="00DF1433" w:rsidRPr="00693B59" w:rsidRDefault="00DF1433" w:rsidP="00C856BB">
      <w:pPr>
        <w:pStyle w:val="Header"/>
        <w:tabs>
          <w:tab w:val="clear" w:pos="4320"/>
          <w:tab w:val="clear" w:pos="8640"/>
        </w:tabs>
        <w:ind w:firstLine="720"/>
        <w:rPr>
          <w:sz w:val="24"/>
          <w:szCs w:val="24"/>
        </w:rPr>
      </w:pPr>
      <w:r w:rsidRPr="00693B59">
        <w:rPr>
          <w:sz w:val="24"/>
          <w:szCs w:val="24"/>
        </w:rPr>
        <w:t>Code of Ethics</w:t>
      </w:r>
      <w:r w:rsidR="00C15AFA">
        <w:rPr>
          <w:sz w:val="24"/>
          <w:szCs w:val="24"/>
        </w:rPr>
        <w:t>………………………………………</w:t>
      </w:r>
      <w:r w:rsidR="00BB1B60">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4254AE">
        <w:rPr>
          <w:sz w:val="24"/>
          <w:szCs w:val="24"/>
        </w:rPr>
        <w:t>9</w:t>
      </w:r>
    </w:p>
    <w:p w14:paraId="7754BD84" w14:textId="2EB723A4" w:rsidR="00DF1433" w:rsidRDefault="00DF1433" w:rsidP="00C856BB">
      <w:pPr>
        <w:pStyle w:val="Header"/>
        <w:tabs>
          <w:tab w:val="clear" w:pos="4320"/>
          <w:tab w:val="clear" w:pos="8640"/>
        </w:tabs>
        <w:ind w:firstLine="720"/>
        <w:rPr>
          <w:sz w:val="24"/>
          <w:szCs w:val="24"/>
        </w:rPr>
      </w:pPr>
      <w:r w:rsidRPr="00693B59">
        <w:rPr>
          <w:sz w:val="24"/>
          <w:szCs w:val="24"/>
        </w:rPr>
        <w:t>Participation or Interest in Client Transactions and Personal Trading</w:t>
      </w:r>
      <w:r w:rsidR="00C15AFA">
        <w:rPr>
          <w:sz w:val="24"/>
          <w:szCs w:val="24"/>
        </w:rPr>
        <w:t>……</w:t>
      </w:r>
      <w:r w:rsidR="00D15E8A">
        <w:rPr>
          <w:sz w:val="24"/>
          <w:szCs w:val="24"/>
        </w:rPr>
        <w:t>…….</w:t>
      </w:r>
      <w:r w:rsidR="004254AE">
        <w:rPr>
          <w:sz w:val="24"/>
          <w:szCs w:val="24"/>
        </w:rPr>
        <w:t>..</w:t>
      </w:r>
      <w:r w:rsidR="00C15AFA">
        <w:rPr>
          <w:sz w:val="24"/>
          <w:szCs w:val="24"/>
        </w:rPr>
        <w:t>……</w:t>
      </w:r>
      <w:r w:rsidR="003919AE">
        <w:rPr>
          <w:sz w:val="24"/>
          <w:szCs w:val="24"/>
        </w:rPr>
        <w:t>...</w:t>
      </w:r>
      <w:r w:rsidR="00CC7467">
        <w:rPr>
          <w:sz w:val="24"/>
          <w:szCs w:val="24"/>
        </w:rPr>
        <w:t>9</w:t>
      </w:r>
    </w:p>
    <w:p w14:paraId="08F775A8" w14:textId="77777777" w:rsidR="00DF1433" w:rsidRDefault="00DF1433" w:rsidP="00DF1433">
      <w:pPr>
        <w:pStyle w:val="Header"/>
        <w:tabs>
          <w:tab w:val="clear" w:pos="4320"/>
          <w:tab w:val="clear" w:pos="8640"/>
        </w:tabs>
        <w:rPr>
          <w:sz w:val="24"/>
          <w:szCs w:val="24"/>
        </w:rPr>
      </w:pPr>
    </w:p>
    <w:p w14:paraId="18695585" w14:textId="77777777" w:rsidR="00DF1433" w:rsidRDefault="00DF1433" w:rsidP="00DF1433">
      <w:pPr>
        <w:pStyle w:val="Header"/>
        <w:tabs>
          <w:tab w:val="clear" w:pos="4320"/>
          <w:tab w:val="clear" w:pos="8640"/>
        </w:tabs>
        <w:rPr>
          <w:rFonts w:ascii="Arial" w:hAnsi="Arial" w:cs="Arial"/>
          <w:b/>
          <w:sz w:val="24"/>
          <w:szCs w:val="24"/>
        </w:rPr>
      </w:pPr>
      <w:r w:rsidRPr="00693B59">
        <w:rPr>
          <w:rFonts w:ascii="Arial" w:hAnsi="Arial" w:cs="Arial"/>
          <w:b/>
          <w:sz w:val="24"/>
          <w:szCs w:val="24"/>
        </w:rPr>
        <w:t>Brokerage Practices</w:t>
      </w:r>
    </w:p>
    <w:p w14:paraId="1C029E98" w14:textId="77777777" w:rsidR="00DF1433" w:rsidRPr="00693B59" w:rsidRDefault="00DF1433" w:rsidP="00C856BB">
      <w:pPr>
        <w:pStyle w:val="Header"/>
        <w:tabs>
          <w:tab w:val="clear" w:pos="4320"/>
          <w:tab w:val="clear" w:pos="8640"/>
        </w:tabs>
        <w:ind w:firstLine="720"/>
        <w:rPr>
          <w:sz w:val="24"/>
          <w:szCs w:val="24"/>
        </w:rPr>
      </w:pPr>
      <w:r w:rsidRPr="00693B59">
        <w:rPr>
          <w:sz w:val="24"/>
          <w:szCs w:val="24"/>
        </w:rPr>
        <w:t>Selecting a Custodian</w:t>
      </w:r>
      <w:r w:rsidR="00C15AFA">
        <w:rPr>
          <w:sz w:val="24"/>
          <w:szCs w:val="24"/>
        </w:rPr>
        <w:t>…………………………</w:t>
      </w:r>
      <w:r w:rsidR="00BB1B60">
        <w:rPr>
          <w:sz w:val="24"/>
          <w:szCs w:val="24"/>
        </w:rPr>
        <w:t>………</w:t>
      </w:r>
      <w:r w:rsidR="00D15E8A">
        <w:rPr>
          <w:sz w:val="24"/>
          <w:szCs w:val="24"/>
        </w:rPr>
        <w:t>………………</w:t>
      </w:r>
      <w:r w:rsidR="004254AE">
        <w:rPr>
          <w:sz w:val="24"/>
          <w:szCs w:val="24"/>
        </w:rPr>
        <w:t>..</w:t>
      </w:r>
      <w:r w:rsidR="00D15E8A">
        <w:rPr>
          <w:sz w:val="24"/>
          <w:szCs w:val="24"/>
        </w:rPr>
        <w:t>…….…</w:t>
      </w:r>
      <w:r w:rsidR="004254AE">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4254AE">
        <w:rPr>
          <w:sz w:val="24"/>
          <w:szCs w:val="24"/>
        </w:rPr>
        <w:t>10</w:t>
      </w:r>
    </w:p>
    <w:p w14:paraId="2B8AE771" w14:textId="77777777" w:rsidR="00DF1433" w:rsidRPr="00693B59" w:rsidRDefault="00DF1433" w:rsidP="00C856BB">
      <w:pPr>
        <w:pStyle w:val="Header"/>
        <w:tabs>
          <w:tab w:val="clear" w:pos="4320"/>
          <w:tab w:val="clear" w:pos="8640"/>
        </w:tabs>
        <w:ind w:firstLine="720"/>
        <w:rPr>
          <w:sz w:val="24"/>
          <w:szCs w:val="24"/>
        </w:rPr>
      </w:pPr>
      <w:r w:rsidRPr="00693B59">
        <w:rPr>
          <w:sz w:val="24"/>
          <w:szCs w:val="24"/>
        </w:rPr>
        <w:t>Soft Dollars</w:t>
      </w:r>
      <w:r w:rsidR="00C15AFA">
        <w:rPr>
          <w:sz w:val="24"/>
          <w:szCs w:val="24"/>
        </w:rPr>
        <w:t>……………………………………</w:t>
      </w:r>
      <w:r w:rsidR="00BB1B60">
        <w:rPr>
          <w:sz w:val="24"/>
          <w:szCs w:val="24"/>
        </w:rPr>
        <w:t>…………</w:t>
      </w:r>
      <w:r w:rsidR="004254AE">
        <w:rPr>
          <w:sz w:val="24"/>
          <w:szCs w:val="24"/>
        </w:rPr>
        <w:t>…………………....…</w:t>
      </w:r>
      <w:r w:rsidR="00D15E8A">
        <w:rPr>
          <w:sz w:val="24"/>
          <w:szCs w:val="24"/>
        </w:rPr>
        <w:t>…..</w:t>
      </w:r>
      <w:r w:rsidR="00C15AFA">
        <w:rPr>
          <w:sz w:val="24"/>
          <w:szCs w:val="24"/>
        </w:rPr>
        <w:t>…</w:t>
      </w:r>
      <w:r w:rsidR="004254AE">
        <w:rPr>
          <w:sz w:val="24"/>
          <w:szCs w:val="24"/>
        </w:rPr>
        <w:t>..10</w:t>
      </w:r>
    </w:p>
    <w:p w14:paraId="0ADD92B3" w14:textId="64A7E708" w:rsidR="00DF1433" w:rsidRPr="00693B59" w:rsidRDefault="00DF1433" w:rsidP="00C856BB">
      <w:pPr>
        <w:pStyle w:val="Header"/>
        <w:tabs>
          <w:tab w:val="clear" w:pos="4320"/>
          <w:tab w:val="clear" w:pos="8640"/>
        </w:tabs>
        <w:ind w:firstLine="720"/>
        <w:rPr>
          <w:sz w:val="24"/>
          <w:szCs w:val="24"/>
        </w:rPr>
      </w:pPr>
      <w:r w:rsidRPr="00693B59">
        <w:rPr>
          <w:sz w:val="24"/>
          <w:szCs w:val="24"/>
        </w:rPr>
        <w:t>Other Benefits Received</w:t>
      </w:r>
      <w:r w:rsidR="00C15AFA">
        <w:rPr>
          <w:sz w:val="24"/>
          <w:szCs w:val="24"/>
        </w:rPr>
        <w:t>…………………………</w:t>
      </w:r>
      <w:r w:rsidR="00BB1B60">
        <w:rPr>
          <w:sz w:val="24"/>
          <w:szCs w:val="24"/>
        </w:rPr>
        <w:t>……</w:t>
      </w:r>
      <w:r w:rsidR="00D15E8A">
        <w:rPr>
          <w:sz w:val="24"/>
          <w:szCs w:val="24"/>
        </w:rPr>
        <w:t>…………………...</w:t>
      </w:r>
      <w:r w:rsidR="00BB1B60">
        <w:rPr>
          <w:sz w:val="24"/>
          <w:szCs w:val="24"/>
        </w:rPr>
        <w:t>………</w:t>
      </w:r>
      <w:r w:rsidR="004254AE">
        <w:rPr>
          <w:sz w:val="24"/>
          <w:szCs w:val="24"/>
        </w:rPr>
        <w:t>…….1</w:t>
      </w:r>
      <w:r w:rsidR="0097353A">
        <w:rPr>
          <w:sz w:val="24"/>
          <w:szCs w:val="24"/>
        </w:rPr>
        <w:t>1</w:t>
      </w:r>
    </w:p>
    <w:p w14:paraId="71519CCA" w14:textId="77777777" w:rsidR="00DF1433" w:rsidRDefault="00DF1433" w:rsidP="00DF1433">
      <w:pPr>
        <w:pStyle w:val="Header"/>
        <w:tabs>
          <w:tab w:val="clear" w:pos="4320"/>
          <w:tab w:val="clear" w:pos="8640"/>
        </w:tabs>
        <w:rPr>
          <w:sz w:val="24"/>
          <w:szCs w:val="24"/>
        </w:rPr>
      </w:pPr>
    </w:p>
    <w:p w14:paraId="62F8E153"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Review of Accounts</w:t>
      </w:r>
    </w:p>
    <w:p w14:paraId="00E91562" w14:textId="77777777" w:rsidR="00DF1433" w:rsidRDefault="00DF1433" w:rsidP="00C856BB">
      <w:pPr>
        <w:pStyle w:val="Header"/>
        <w:tabs>
          <w:tab w:val="clear" w:pos="4320"/>
          <w:tab w:val="clear" w:pos="8640"/>
        </w:tabs>
        <w:ind w:firstLine="720"/>
        <w:rPr>
          <w:sz w:val="24"/>
          <w:szCs w:val="24"/>
        </w:rPr>
      </w:pPr>
      <w:r>
        <w:rPr>
          <w:sz w:val="24"/>
          <w:szCs w:val="24"/>
        </w:rPr>
        <w:t>Review of Accounts</w:t>
      </w:r>
      <w:r w:rsidR="00C15AFA">
        <w:rPr>
          <w:sz w:val="24"/>
          <w:szCs w:val="24"/>
        </w:rPr>
        <w:t>………………………………</w:t>
      </w:r>
      <w:r w:rsidR="00BB1B60">
        <w:rPr>
          <w:sz w:val="24"/>
          <w:szCs w:val="24"/>
        </w:rPr>
        <w:t>…</w:t>
      </w:r>
      <w:r w:rsidR="00D15E8A">
        <w:rPr>
          <w:sz w:val="24"/>
          <w:szCs w:val="24"/>
        </w:rPr>
        <w:t>………….…………..</w:t>
      </w:r>
      <w:r w:rsidR="00BB1B60">
        <w:rPr>
          <w:sz w:val="24"/>
          <w:szCs w:val="24"/>
        </w:rPr>
        <w:t>……</w:t>
      </w:r>
      <w:r w:rsidR="005A32DA">
        <w:rPr>
          <w:sz w:val="24"/>
          <w:szCs w:val="24"/>
        </w:rPr>
        <w:t>.</w:t>
      </w:r>
      <w:r w:rsidR="00BB1B60">
        <w:rPr>
          <w:sz w:val="24"/>
          <w:szCs w:val="24"/>
        </w:rPr>
        <w:t>..</w:t>
      </w:r>
      <w:r w:rsidR="004254AE">
        <w:rPr>
          <w:sz w:val="24"/>
          <w:szCs w:val="24"/>
        </w:rPr>
        <w:t>….....11</w:t>
      </w:r>
    </w:p>
    <w:p w14:paraId="08E5F71E" w14:textId="77777777" w:rsidR="00DF1433" w:rsidRDefault="00DF1433" w:rsidP="00C856BB">
      <w:pPr>
        <w:pStyle w:val="Header"/>
        <w:tabs>
          <w:tab w:val="clear" w:pos="4320"/>
          <w:tab w:val="clear" w:pos="8640"/>
        </w:tabs>
        <w:ind w:firstLine="720"/>
        <w:rPr>
          <w:sz w:val="24"/>
          <w:szCs w:val="24"/>
        </w:rPr>
      </w:pPr>
      <w:r>
        <w:rPr>
          <w:sz w:val="24"/>
          <w:szCs w:val="24"/>
        </w:rPr>
        <w:t>Reports</w:t>
      </w:r>
      <w:r w:rsidR="00C15AFA">
        <w:rPr>
          <w:sz w:val="24"/>
          <w:szCs w:val="24"/>
        </w:rPr>
        <w:t>……………………………………………</w:t>
      </w:r>
      <w:r w:rsidR="00BB1B60">
        <w:rPr>
          <w:sz w:val="24"/>
          <w:szCs w:val="24"/>
        </w:rPr>
        <w:t>………</w:t>
      </w:r>
      <w:r w:rsidR="00D15E8A">
        <w:rPr>
          <w:sz w:val="24"/>
          <w:szCs w:val="24"/>
        </w:rPr>
        <w:t>………………………….</w:t>
      </w:r>
      <w:r w:rsidR="00C15AFA">
        <w:rPr>
          <w:sz w:val="24"/>
          <w:szCs w:val="24"/>
        </w:rPr>
        <w:t>…</w:t>
      </w:r>
      <w:r w:rsidR="003919AE">
        <w:rPr>
          <w:sz w:val="24"/>
          <w:szCs w:val="24"/>
        </w:rPr>
        <w:t>..</w:t>
      </w:r>
      <w:r w:rsidR="004254AE">
        <w:rPr>
          <w:sz w:val="24"/>
          <w:szCs w:val="24"/>
        </w:rPr>
        <w:t>11</w:t>
      </w:r>
    </w:p>
    <w:p w14:paraId="7945FB4F" w14:textId="77777777" w:rsidR="00DF1433" w:rsidRDefault="00DF1433" w:rsidP="00DF1433">
      <w:pPr>
        <w:pStyle w:val="Header"/>
        <w:tabs>
          <w:tab w:val="clear" w:pos="4320"/>
          <w:tab w:val="clear" w:pos="8640"/>
        </w:tabs>
        <w:rPr>
          <w:sz w:val="24"/>
          <w:szCs w:val="24"/>
        </w:rPr>
      </w:pPr>
    </w:p>
    <w:p w14:paraId="0CC700FF"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Client Referrals and Others Compensation</w:t>
      </w:r>
    </w:p>
    <w:p w14:paraId="497DF919" w14:textId="42DF29D0" w:rsidR="00DF1433" w:rsidRDefault="00DF1433" w:rsidP="00C856BB">
      <w:pPr>
        <w:pStyle w:val="Header"/>
        <w:tabs>
          <w:tab w:val="clear" w:pos="4320"/>
          <w:tab w:val="clear" w:pos="8640"/>
        </w:tabs>
        <w:ind w:firstLine="720"/>
        <w:rPr>
          <w:sz w:val="24"/>
          <w:szCs w:val="24"/>
        </w:rPr>
      </w:pPr>
      <w:r>
        <w:rPr>
          <w:sz w:val="24"/>
          <w:szCs w:val="24"/>
        </w:rPr>
        <w:t>Clients Referrals</w:t>
      </w:r>
      <w:r w:rsidR="00C15AFA">
        <w:rPr>
          <w:sz w:val="24"/>
          <w:szCs w:val="24"/>
        </w:rPr>
        <w:t>…………………………………………</w:t>
      </w:r>
      <w:r w:rsidR="00BB1B60">
        <w:rPr>
          <w:sz w:val="24"/>
          <w:szCs w:val="24"/>
        </w:rPr>
        <w:t>……</w:t>
      </w:r>
      <w:r w:rsidR="00D15E8A">
        <w:rPr>
          <w:sz w:val="24"/>
          <w:szCs w:val="24"/>
        </w:rPr>
        <w:t>…………………</w:t>
      </w:r>
      <w:r w:rsidR="00C15AFA">
        <w:rPr>
          <w:sz w:val="24"/>
          <w:szCs w:val="24"/>
        </w:rPr>
        <w:t>……</w:t>
      </w:r>
      <w:r w:rsidR="003919AE">
        <w:rPr>
          <w:sz w:val="24"/>
          <w:szCs w:val="24"/>
        </w:rPr>
        <w:t>….</w:t>
      </w:r>
      <w:r w:rsidR="004254AE">
        <w:rPr>
          <w:sz w:val="24"/>
          <w:szCs w:val="24"/>
        </w:rPr>
        <w:t>1</w:t>
      </w:r>
      <w:r w:rsidR="00CC7467">
        <w:rPr>
          <w:sz w:val="24"/>
          <w:szCs w:val="24"/>
        </w:rPr>
        <w:t>2</w:t>
      </w:r>
    </w:p>
    <w:p w14:paraId="00CA1259" w14:textId="77777777" w:rsidR="00DF1433" w:rsidRDefault="00DF1433" w:rsidP="00DF1433">
      <w:pPr>
        <w:pStyle w:val="Header"/>
        <w:tabs>
          <w:tab w:val="clear" w:pos="4320"/>
          <w:tab w:val="clear" w:pos="8640"/>
        </w:tabs>
        <w:rPr>
          <w:sz w:val="24"/>
          <w:szCs w:val="24"/>
        </w:rPr>
      </w:pPr>
    </w:p>
    <w:p w14:paraId="632E80C6"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Custody</w:t>
      </w:r>
    </w:p>
    <w:p w14:paraId="0A0F1EBA" w14:textId="0653E53C" w:rsidR="00DF1433" w:rsidRDefault="00DF1433" w:rsidP="00C856BB">
      <w:pPr>
        <w:pStyle w:val="Header"/>
        <w:tabs>
          <w:tab w:val="clear" w:pos="4320"/>
          <w:tab w:val="clear" w:pos="8640"/>
        </w:tabs>
        <w:ind w:firstLine="720"/>
        <w:rPr>
          <w:sz w:val="24"/>
          <w:szCs w:val="24"/>
        </w:rPr>
      </w:pPr>
      <w:r>
        <w:rPr>
          <w:sz w:val="24"/>
          <w:szCs w:val="24"/>
        </w:rPr>
        <w:t>Custodian</w:t>
      </w:r>
      <w:r w:rsidR="00C15AFA">
        <w:rPr>
          <w:sz w:val="24"/>
          <w:szCs w:val="24"/>
        </w:rPr>
        <w:t>…………………………………………</w:t>
      </w:r>
      <w:r w:rsidR="00BB1B60">
        <w:rPr>
          <w:sz w:val="24"/>
          <w:szCs w:val="24"/>
        </w:rPr>
        <w:t>…..</w:t>
      </w:r>
      <w:r w:rsidR="00C15AFA">
        <w:rPr>
          <w:sz w:val="24"/>
          <w:szCs w:val="24"/>
        </w:rPr>
        <w:t>………</w:t>
      </w:r>
      <w:r w:rsidR="00D15E8A">
        <w:rPr>
          <w:sz w:val="24"/>
          <w:szCs w:val="24"/>
        </w:rPr>
        <w:t>……………………</w:t>
      </w:r>
      <w:r w:rsidR="003919AE">
        <w:rPr>
          <w:sz w:val="24"/>
          <w:szCs w:val="24"/>
        </w:rPr>
        <w:t>…….</w:t>
      </w:r>
      <w:r w:rsidR="004254AE">
        <w:rPr>
          <w:sz w:val="24"/>
          <w:szCs w:val="24"/>
        </w:rPr>
        <w:t>1</w:t>
      </w:r>
      <w:r w:rsidR="00CC7467">
        <w:rPr>
          <w:sz w:val="24"/>
          <w:szCs w:val="24"/>
        </w:rPr>
        <w:t>2</w:t>
      </w:r>
    </w:p>
    <w:p w14:paraId="011A68A4" w14:textId="1856FC3E" w:rsidR="00DF1433" w:rsidRDefault="00DF1433" w:rsidP="00C856BB">
      <w:pPr>
        <w:pStyle w:val="Header"/>
        <w:tabs>
          <w:tab w:val="clear" w:pos="4320"/>
          <w:tab w:val="clear" w:pos="8640"/>
        </w:tabs>
        <w:ind w:firstLine="720"/>
        <w:rPr>
          <w:sz w:val="24"/>
          <w:szCs w:val="24"/>
        </w:rPr>
      </w:pPr>
      <w:r>
        <w:rPr>
          <w:sz w:val="24"/>
          <w:szCs w:val="24"/>
        </w:rPr>
        <w:t>Statements provided by Omega Capital Management, LLC</w:t>
      </w:r>
      <w:r w:rsidR="00C15AFA">
        <w:rPr>
          <w:sz w:val="24"/>
          <w:szCs w:val="24"/>
        </w:rPr>
        <w:t>……</w:t>
      </w:r>
      <w:r w:rsidR="00D15E8A">
        <w:rPr>
          <w:sz w:val="24"/>
          <w:szCs w:val="24"/>
        </w:rPr>
        <w:t>…………</w:t>
      </w:r>
      <w:r w:rsidR="00C15AFA">
        <w:rPr>
          <w:sz w:val="24"/>
          <w:szCs w:val="24"/>
        </w:rPr>
        <w:t>…</w:t>
      </w:r>
      <w:r w:rsidR="00BB1B60">
        <w:rPr>
          <w:sz w:val="24"/>
          <w:szCs w:val="24"/>
        </w:rPr>
        <w:t>…….</w:t>
      </w:r>
      <w:r w:rsidR="005A32DA">
        <w:rPr>
          <w:sz w:val="24"/>
          <w:szCs w:val="24"/>
        </w:rPr>
        <w:t>.</w:t>
      </w:r>
      <w:r w:rsidR="00C15AFA">
        <w:rPr>
          <w:sz w:val="24"/>
          <w:szCs w:val="24"/>
        </w:rPr>
        <w:t>…</w:t>
      </w:r>
      <w:r w:rsidR="003919AE">
        <w:rPr>
          <w:sz w:val="24"/>
          <w:szCs w:val="24"/>
        </w:rPr>
        <w:t>...</w:t>
      </w:r>
      <w:r w:rsidR="004254AE">
        <w:rPr>
          <w:sz w:val="24"/>
          <w:szCs w:val="24"/>
        </w:rPr>
        <w:t>1</w:t>
      </w:r>
      <w:r w:rsidR="007C2745">
        <w:rPr>
          <w:sz w:val="24"/>
          <w:szCs w:val="24"/>
        </w:rPr>
        <w:t>3</w:t>
      </w:r>
    </w:p>
    <w:p w14:paraId="6D2D0F5A" w14:textId="77777777" w:rsidR="00DF1433" w:rsidRDefault="00DF1433" w:rsidP="00DF1433">
      <w:pPr>
        <w:pStyle w:val="Header"/>
        <w:tabs>
          <w:tab w:val="clear" w:pos="4320"/>
          <w:tab w:val="clear" w:pos="8640"/>
        </w:tabs>
        <w:rPr>
          <w:sz w:val="24"/>
          <w:szCs w:val="24"/>
        </w:rPr>
      </w:pPr>
    </w:p>
    <w:p w14:paraId="74B2DD3D"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Investment Discretion</w:t>
      </w:r>
    </w:p>
    <w:p w14:paraId="0CDE67F9" w14:textId="5B8DEC03" w:rsidR="00DF1433" w:rsidRDefault="00DF1433" w:rsidP="00C856BB">
      <w:pPr>
        <w:pStyle w:val="Header"/>
        <w:tabs>
          <w:tab w:val="clear" w:pos="4320"/>
          <w:tab w:val="clear" w:pos="8640"/>
        </w:tabs>
        <w:ind w:firstLine="720"/>
        <w:rPr>
          <w:sz w:val="24"/>
          <w:szCs w:val="24"/>
        </w:rPr>
      </w:pPr>
      <w:r>
        <w:rPr>
          <w:sz w:val="24"/>
          <w:szCs w:val="24"/>
        </w:rPr>
        <w:t>Discretionary Authority</w:t>
      </w:r>
      <w:r w:rsidR="00C15AFA">
        <w:rPr>
          <w:sz w:val="24"/>
          <w:szCs w:val="24"/>
        </w:rPr>
        <w:t>………………………………………</w:t>
      </w:r>
      <w:r w:rsidR="00BB1B60">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4254AE">
        <w:rPr>
          <w:sz w:val="24"/>
          <w:szCs w:val="24"/>
        </w:rPr>
        <w:t>1</w:t>
      </w:r>
      <w:r w:rsidR="00CC7467">
        <w:rPr>
          <w:sz w:val="24"/>
          <w:szCs w:val="24"/>
        </w:rPr>
        <w:t>3</w:t>
      </w:r>
    </w:p>
    <w:p w14:paraId="0CCE2BA4" w14:textId="2844A99F" w:rsidR="00DF1433" w:rsidRDefault="00DF1433" w:rsidP="00C33018">
      <w:pPr>
        <w:pStyle w:val="Header"/>
        <w:tabs>
          <w:tab w:val="clear" w:pos="4320"/>
          <w:tab w:val="clear" w:pos="8640"/>
        </w:tabs>
        <w:ind w:firstLine="720"/>
        <w:rPr>
          <w:sz w:val="24"/>
          <w:szCs w:val="24"/>
        </w:rPr>
      </w:pPr>
      <w:r>
        <w:rPr>
          <w:sz w:val="24"/>
          <w:szCs w:val="24"/>
        </w:rPr>
        <w:t>Limited Power of Attorney</w:t>
      </w:r>
      <w:r w:rsidR="00C15AFA">
        <w:rPr>
          <w:sz w:val="24"/>
          <w:szCs w:val="24"/>
        </w:rPr>
        <w:t>……………………………………</w:t>
      </w:r>
      <w:r w:rsidR="00BB1B60">
        <w:rPr>
          <w:sz w:val="24"/>
          <w:szCs w:val="24"/>
        </w:rPr>
        <w:t>……</w:t>
      </w:r>
      <w:r w:rsidR="00D15E8A">
        <w:rPr>
          <w:sz w:val="24"/>
          <w:szCs w:val="24"/>
        </w:rPr>
        <w:t>……………</w:t>
      </w:r>
      <w:r w:rsidR="005A32DA">
        <w:rPr>
          <w:sz w:val="24"/>
          <w:szCs w:val="24"/>
        </w:rPr>
        <w:t>….</w:t>
      </w:r>
      <w:r w:rsidR="00C15AFA">
        <w:rPr>
          <w:sz w:val="24"/>
          <w:szCs w:val="24"/>
        </w:rPr>
        <w:t>…</w:t>
      </w:r>
      <w:r w:rsidR="003919AE">
        <w:rPr>
          <w:sz w:val="24"/>
          <w:szCs w:val="24"/>
        </w:rPr>
        <w:t>...</w:t>
      </w:r>
      <w:r w:rsidR="004254AE">
        <w:rPr>
          <w:sz w:val="24"/>
          <w:szCs w:val="24"/>
        </w:rPr>
        <w:t>1</w:t>
      </w:r>
      <w:r w:rsidR="00CC7467">
        <w:rPr>
          <w:sz w:val="24"/>
          <w:szCs w:val="24"/>
        </w:rPr>
        <w:t>3</w:t>
      </w:r>
    </w:p>
    <w:p w14:paraId="5C6CE1B5"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Voting Client Securities</w:t>
      </w:r>
    </w:p>
    <w:p w14:paraId="581BC042" w14:textId="6D2C1166" w:rsidR="00DF1433" w:rsidRDefault="00DF1433" w:rsidP="00C856BB">
      <w:pPr>
        <w:pStyle w:val="Header"/>
        <w:tabs>
          <w:tab w:val="clear" w:pos="4320"/>
          <w:tab w:val="clear" w:pos="8640"/>
        </w:tabs>
        <w:ind w:firstLine="720"/>
        <w:rPr>
          <w:sz w:val="24"/>
          <w:szCs w:val="24"/>
        </w:rPr>
      </w:pPr>
      <w:r>
        <w:rPr>
          <w:sz w:val="24"/>
          <w:szCs w:val="24"/>
        </w:rPr>
        <w:t>Proxy Voting</w:t>
      </w:r>
      <w:r w:rsidR="00C15AFA">
        <w:rPr>
          <w:sz w:val="24"/>
          <w:szCs w:val="24"/>
        </w:rPr>
        <w:t>……………………………………………</w:t>
      </w:r>
      <w:r w:rsidR="00D15E8A">
        <w:rPr>
          <w:sz w:val="24"/>
          <w:szCs w:val="24"/>
        </w:rPr>
        <w:t>…………………..</w:t>
      </w:r>
      <w:r w:rsidR="00BB1B60">
        <w:rPr>
          <w:sz w:val="24"/>
          <w:szCs w:val="24"/>
        </w:rPr>
        <w:t>…</w:t>
      </w:r>
      <w:r w:rsidR="00C15AFA">
        <w:rPr>
          <w:sz w:val="24"/>
          <w:szCs w:val="24"/>
        </w:rPr>
        <w:t>…</w:t>
      </w:r>
      <w:r w:rsidR="00D15E8A">
        <w:rPr>
          <w:sz w:val="24"/>
          <w:szCs w:val="24"/>
        </w:rPr>
        <w:t>.</w:t>
      </w:r>
      <w:r w:rsidR="005A32DA">
        <w:rPr>
          <w:sz w:val="24"/>
          <w:szCs w:val="24"/>
        </w:rPr>
        <w:t>…</w:t>
      </w:r>
      <w:r w:rsidR="00C15AFA">
        <w:rPr>
          <w:sz w:val="24"/>
          <w:szCs w:val="24"/>
        </w:rPr>
        <w:t>…</w:t>
      </w:r>
      <w:r w:rsidR="003919AE">
        <w:rPr>
          <w:sz w:val="24"/>
          <w:szCs w:val="24"/>
        </w:rPr>
        <w:t>...</w:t>
      </w:r>
      <w:r w:rsidR="004254AE">
        <w:rPr>
          <w:sz w:val="24"/>
          <w:szCs w:val="24"/>
        </w:rPr>
        <w:t>1</w:t>
      </w:r>
      <w:r w:rsidR="00CC7467">
        <w:rPr>
          <w:sz w:val="24"/>
          <w:szCs w:val="24"/>
        </w:rPr>
        <w:t>3</w:t>
      </w:r>
    </w:p>
    <w:p w14:paraId="3BAB8635" w14:textId="77777777" w:rsidR="00DF1433" w:rsidRDefault="00DF1433" w:rsidP="00DF1433">
      <w:pPr>
        <w:pStyle w:val="Header"/>
        <w:tabs>
          <w:tab w:val="clear" w:pos="4320"/>
          <w:tab w:val="clear" w:pos="8640"/>
        </w:tabs>
        <w:rPr>
          <w:sz w:val="24"/>
          <w:szCs w:val="24"/>
        </w:rPr>
      </w:pPr>
    </w:p>
    <w:p w14:paraId="3E487E1D"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Financial Informational</w:t>
      </w:r>
    </w:p>
    <w:p w14:paraId="7E1AF6B9" w14:textId="4EA471B0" w:rsidR="00DF1433" w:rsidRDefault="00DF1433" w:rsidP="00C856BB">
      <w:pPr>
        <w:pStyle w:val="Header"/>
        <w:tabs>
          <w:tab w:val="clear" w:pos="4320"/>
          <w:tab w:val="clear" w:pos="8640"/>
        </w:tabs>
        <w:ind w:firstLine="720"/>
        <w:rPr>
          <w:sz w:val="24"/>
          <w:szCs w:val="24"/>
        </w:rPr>
      </w:pPr>
      <w:r>
        <w:rPr>
          <w:sz w:val="24"/>
          <w:szCs w:val="24"/>
        </w:rPr>
        <w:t>Financial Reporting Requirements</w:t>
      </w:r>
      <w:r w:rsidR="00C15AFA">
        <w:rPr>
          <w:sz w:val="24"/>
          <w:szCs w:val="24"/>
        </w:rPr>
        <w:t>……………………</w:t>
      </w:r>
      <w:r w:rsidR="00D15E8A">
        <w:rPr>
          <w:sz w:val="24"/>
          <w:szCs w:val="24"/>
        </w:rPr>
        <w:t>……………………</w:t>
      </w:r>
      <w:r w:rsidR="00BB1B60">
        <w:rPr>
          <w:sz w:val="24"/>
          <w:szCs w:val="24"/>
        </w:rPr>
        <w:t>……</w:t>
      </w:r>
      <w:r w:rsidR="00C15AFA">
        <w:rPr>
          <w:sz w:val="24"/>
          <w:szCs w:val="24"/>
        </w:rPr>
        <w:t>…</w:t>
      </w:r>
      <w:r w:rsidR="005A32DA">
        <w:rPr>
          <w:sz w:val="24"/>
          <w:szCs w:val="24"/>
        </w:rPr>
        <w:t>...</w:t>
      </w:r>
      <w:r w:rsidR="003919AE">
        <w:rPr>
          <w:sz w:val="24"/>
          <w:szCs w:val="24"/>
        </w:rPr>
        <w:t>.....</w:t>
      </w:r>
      <w:r w:rsidR="004254AE">
        <w:rPr>
          <w:sz w:val="24"/>
          <w:szCs w:val="24"/>
        </w:rPr>
        <w:t>1</w:t>
      </w:r>
      <w:r w:rsidR="00CC7467">
        <w:rPr>
          <w:sz w:val="24"/>
          <w:szCs w:val="24"/>
        </w:rPr>
        <w:t>3</w:t>
      </w:r>
    </w:p>
    <w:p w14:paraId="5179EFB3" w14:textId="77777777" w:rsidR="00DF1433" w:rsidRDefault="00DF1433" w:rsidP="00DF1433">
      <w:pPr>
        <w:pStyle w:val="Header"/>
        <w:tabs>
          <w:tab w:val="clear" w:pos="4320"/>
          <w:tab w:val="clear" w:pos="8640"/>
        </w:tabs>
        <w:rPr>
          <w:sz w:val="24"/>
          <w:szCs w:val="24"/>
        </w:rPr>
      </w:pPr>
    </w:p>
    <w:p w14:paraId="4DED8051" w14:textId="77777777" w:rsidR="00DF1433" w:rsidRPr="00461223" w:rsidRDefault="00DF1433" w:rsidP="00DF1433">
      <w:pPr>
        <w:pStyle w:val="Header"/>
        <w:tabs>
          <w:tab w:val="clear" w:pos="4320"/>
          <w:tab w:val="clear" w:pos="8640"/>
        </w:tabs>
        <w:rPr>
          <w:rFonts w:ascii="Arial" w:hAnsi="Arial" w:cs="Arial"/>
          <w:b/>
          <w:sz w:val="24"/>
          <w:szCs w:val="24"/>
        </w:rPr>
      </w:pPr>
      <w:r w:rsidRPr="00461223">
        <w:rPr>
          <w:rFonts w:ascii="Arial" w:hAnsi="Arial" w:cs="Arial"/>
          <w:b/>
          <w:sz w:val="24"/>
          <w:szCs w:val="24"/>
        </w:rPr>
        <w:t>Client Privacy</w:t>
      </w:r>
    </w:p>
    <w:p w14:paraId="2B60788C" w14:textId="636F8514" w:rsidR="00DF1433" w:rsidRDefault="00DF1433" w:rsidP="00C856BB">
      <w:pPr>
        <w:pStyle w:val="Header"/>
        <w:tabs>
          <w:tab w:val="clear" w:pos="4320"/>
          <w:tab w:val="clear" w:pos="8640"/>
        </w:tabs>
        <w:ind w:firstLine="720"/>
        <w:rPr>
          <w:sz w:val="24"/>
          <w:szCs w:val="24"/>
        </w:rPr>
      </w:pPr>
      <w:r>
        <w:rPr>
          <w:sz w:val="24"/>
          <w:szCs w:val="24"/>
        </w:rPr>
        <w:t>Client Privacy</w:t>
      </w:r>
      <w:r w:rsidR="00C15AFA">
        <w:rPr>
          <w:sz w:val="24"/>
          <w:szCs w:val="24"/>
        </w:rPr>
        <w:t>……………………………………………</w:t>
      </w:r>
      <w:r w:rsidR="00D15E8A">
        <w:rPr>
          <w:sz w:val="24"/>
          <w:szCs w:val="24"/>
        </w:rPr>
        <w:t>……………………….</w:t>
      </w:r>
      <w:r w:rsidR="00BB1B60">
        <w:rPr>
          <w:sz w:val="24"/>
          <w:szCs w:val="24"/>
        </w:rPr>
        <w:t>…..</w:t>
      </w:r>
      <w:r w:rsidR="00C15AFA">
        <w:rPr>
          <w:sz w:val="24"/>
          <w:szCs w:val="24"/>
        </w:rPr>
        <w:t>…</w:t>
      </w:r>
      <w:r w:rsidR="003919AE">
        <w:rPr>
          <w:sz w:val="24"/>
          <w:szCs w:val="24"/>
        </w:rPr>
        <w:t>.</w:t>
      </w:r>
      <w:r w:rsidR="005A32DA">
        <w:rPr>
          <w:sz w:val="24"/>
          <w:szCs w:val="24"/>
        </w:rPr>
        <w:t>1</w:t>
      </w:r>
      <w:r w:rsidR="00CC7467">
        <w:rPr>
          <w:sz w:val="24"/>
          <w:szCs w:val="24"/>
        </w:rPr>
        <w:t>3</w:t>
      </w:r>
    </w:p>
    <w:p w14:paraId="2EFD5386" w14:textId="77777777" w:rsidR="00C15AFA" w:rsidRDefault="00C15AFA" w:rsidP="00DF1433">
      <w:pPr>
        <w:pStyle w:val="Header"/>
        <w:tabs>
          <w:tab w:val="clear" w:pos="4320"/>
          <w:tab w:val="clear" w:pos="8640"/>
        </w:tabs>
        <w:rPr>
          <w:sz w:val="24"/>
          <w:szCs w:val="24"/>
        </w:rPr>
      </w:pPr>
    </w:p>
    <w:p w14:paraId="477A0C27" w14:textId="77777777" w:rsidR="00C15AFA" w:rsidRPr="00C15AFA" w:rsidRDefault="00C15AFA" w:rsidP="00DF1433">
      <w:pPr>
        <w:pStyle w:val="Header"/>
        <w:tabs>
          <w:tab w:val="clear" w:pos="4320"/>
          <w:tab w:val="clear" w:pos="8640"/>
        </w:tabs>
        <w:rPr>
          <w:rFonts w:ascii="Arial" w:hAnsi="Arial" w:cs="Arial"/>
          <w:b/>
          <w:sz w:val="24"/>
          <w:szCs w:val="24"/>
        </w:rPr>
      </w:pPr>
      <w:r w:rsidRPr="00C15AFA">
        <w:rPr>
          <w:rFonts w:ascii="Arial" w:hAnsi="Arial" w:cs="Arial"/>
          <w:b/>
          <w:sz w:val="24"/>
          <w:szCs w:val="24"/>
        </w:rPr>
        <w:t>Disaster Recovery</w:t>
      </w:r>
    </w:p>
    <w:p w14:paraId="30311128" w14:textId="4851320C" w:rsidR="00C15AFA" w:rsidRDefault="00C15AFA" w:rsidP="00C856BB">
      <w:pPr>
        <w:pStyle w:val="Header"/>
        <w:tabs>
          <w:tab w:val="clear" w:pos="4320"/>
          <w:tab w:val="clear" w:pos="8640"/>
        </w:tabs>
        <w:ind w:firstLine="720"/>
        <w:rPr>
          <w:sz w:val="24"/>
          <w:szCs w:val="24"/>
        </w:rPr>
      </w:pPr>
      <w:r>
        <w:rPr>
          <w:sz w:val="24"/>
          <w:szCs w:val="24"/>
        </w:rPr>
        <w:t>Disaster Recovery……………………………………</w:t>
      </w:r>
      <w:r w:rsidR="00BB1B60">
        <w:rPr>
          <w:sz w:val="24"/>
          <w:szCs w:val="24"/>
        </w:rPr>
        <w:t>…</w:t>
      </w:r>
      <w:r w:rsidR="00D15E8A">
        <w:rPr>
          <w:sz w:val="24"/>
          <w:szCs w:val="24"/>
        </w:rPr>
        <w:t>………………………</w:t>
      </w:r>
      <w:r w:rsidR="003919AE">
        <w:rPr>
          <w:sz w:val="24"/>
          <w:szCs w:val="24"/>
        </w:rPr>
        <w:t>……….</w:t>
      </w:r>
      <w:r w:rsidR="00C46CBD">
        <w:rPr>
          <w:sz w:val="24"/>
          <w:szCs w:val="24"/>
        </w:rPr>
        <w:t>1</w:t>
      </w:r>
      <w:r w:rsidR="00CC7467">
        <w:rPr>
          <w:sz w:val="24"/>
          <w:szCs w:val="24"/>
        </w:rPr>
        <w:t>4</w:t>
      </w:r>
    </w:p>
    <w:p w14:paraId="656BEEF7" w14:textId="77777777" w:rsidR="005E41D1" w:rsidRDefault="005E41D1" w:rsidP="00AA3526"/>
    <w:p w14:paraId="28FD60B6" w14:textId="492A89D6" w:rsidR="00A31A12" w:rsidRDefault="00A31A12">
      <w:r>
        <w:br w:type="page"/>
      </w:r>
    </w:p>
    <w:p w14:paraId="49E7A5EE" w14:textId="77777777" w:rsidR="0055749C" w:rsidRPr="005A03D1" w:rsidRDefault="0055749C" w:rsidP="005410A9">
      <w:pPr>
        <w:jc w:val="center"/>
        <w:rPr>
          <w:rFonts w:ascii="Arial" w:hAnsi="Arial" w:cs="Arial"/>
          <w:b/>
          <w:sz w:val="28"/>
          <w:szCs w:val="28"/>
          <w:u w:val="single"/>
        </w:rPr>
      </w:pPr>
      <w:r w:rsidRPr="005A03D1">
        <w:rPr>
          <w:rFonts w:ascii="Arial" w:hAnsi="Arial" w:cs="Arial"/>
          <w:b/>
          <w:sz w:val="28"/>
          <w:szCs w:val="28"/>
          <w:u w:val="single"/>
        </w:rPr>
        <w:t>Advisory Business</w:t>
      </w:r>
      <w:r w:rsidR="00EE2C61">
        <w:rPr>
          <w:rFonts w:ascii="Arial" w:hAnsi="Arial" w:cs="Arial"/>
          <w:b/>
          <w:sz w:val="28"/>
          <w:szCs w:val="28"/>
          <w:u w:val="single"/>
        </w:rPr>
        <w:t xml:space="preserve">   </w:t>
      </w:r>
    </w:p>
    <w:p w14:paraId="56D56D6E" w14:textId="77777777" w:rsidR="00FF661C" w:rsidRDefault="00FF661C" w:rsidP="0055749C"/>
    <w:p w14:paraId="54D40A39" w14:textId="77777777" w:rsidR="00FF661C" w:rsidRPr="00FF661C" w:rsidRDefault="00FF661C" w:rsidP="0055749C">
      <w:pPr>
        <w:rPr>
          <w:b/>
          <w:sz w:val="24"/>
          <w:szCs w:val="24"/>
        </w:rPr>
      </w:pPr>
      <w:r w:rsidRPr="00FF661C">
        <w:rPr>
          <w:b/>
          <w:sz w:val="24"/>
          <w:szCs w:val="24"/>
        </w:rPr>
        <w:t>Firm Description</w:t>
      </w:r>
    </w:p>
    <w:p w14:paraId="659910CF" w14:textId="679F82A6" w:rsidR="00326093" w:rsidRPr="006F679B" w:rsidRDefault="004A1772" w:rsidP="0055749C">
      <w:r w:rsidRPr="006F679B">
        <w:t xml:space="preserve">Omega Capital Management, LLC, referred to as </w:t>
      </w:r>
      <w:r w:rsidR="006C6D27" w:rsidRPr="006F679B">
        <w:t>Omega Capital</w:t>
      </w:r>
      <w:r w:rsidRPr="006F679B">
        <w:t>,</w:t>
      </w:r>
      <w:r w:rsidR="00FF661C" w:rsidRPr="006F679B">
        <w:t xml:space="preserve"> is a</w:t>
      </w:r>
      <w:r w:rsidR="007F724F" w:rsidRPr="006F679B">
        <w:t xml:space="preserve"> </w:t>
      </w:r>
      <w:r w:rsidR="00133C58">
        <w:t xml:space="preserve">New Jersey based </w:t>
      </w:r>
      <w:r w:rsidR="007F724F" w:rsidRPr="006F679B">
        <w:t>Registered Investment A</w:t>
      </w:r>
      <w:r w:rsidR="00FF661C" w:rsidRPr="006F679B">
        <w:t xml:space="preserve">dviser </w:t>
      </w:r>
      <w:r w:rsidR="007F724F" w:rsidRPr="006F679B">
        <w:t xml:space="preserve">under the Investment Advisors Act of 1940 and regulated by the </w:t>
      </w:r>
      <w:r w:rsidR="008A4D1C">
        <w:t>Securities and Exchange Commission (“SEC”)</w:t>
      </w:r>
      <w:r w:rsidR="004C5627" w:rsidRPr="006F679B">
        <w:t xml:space="preserve">.  </w:t>
      </w:r>
      <w:r w:rsidR="001C78AF" w:rsidRPr="006F679B">
        <w:t>Omega Capital Management, LLC was formed by Steven M. Bedell, CFP</w:t>
      </w:r>
      <w:r w:rsidR="00F055D4" w:rsidRPr="006F679B">
        <w:t>®</w:t>
      </w:r>
      <w:r w:rsidR="006F679B" w:rsidRPr="006F679B">
        <w:t>,</w:t>
      </w:r>
      <w:r w:rsidR="0038416E">
        <w:t xml:space="preserve">AIF®, </w:t>
      </w:r>
      <w:r w:rsidR="001C78AF" w:rsidRPr="006F679B">
        <w:t>CFS</w:t>
      </w:r>
      <w:r w:rsidR="007F724F" w:rsidRPr="006F679B">
        <w:t>®</w:t>
      </w:r>
      <w:r w:rsidR="00B65B7B">
        <w:t>, RICP</w:t>
      </w:r>
      <w:r w:rsidR="00B65B7B" w:rsidRPr="006F679B">
        <w:t>®</w:t>
      </w:r>
      <w:r w:rsidR="001C78AF" w:rsidRPr="006F679B">
        <w:t xml:space="preserve"> in</w:t>
      </w:r>
      <w:r w:rsidR="00CF5C12">
        <w:t xml:space="preserve"> </w:t>
      </w:r>
      <w:r w:rsidR="00613E89">
        <w:t xml:space="preserve">January </w:t>
      </w:r>
      <w:r w:rsidR="001C78AF" w:rsidRPr="006F679B">
        <w:t xml:space="preserve">1999.  </w:t>
      </w:r>
    </w:p>
    <w:p w14:paraId="3C26C8D0" w14:textId="77777777" w:rsidR="00EF3655" w:rsidRPr="006F679B" w:rsidRDefault="00EF3655" w:rsidP="0055749C"/>
    <w:p w14:paraId="36F2B7D1" w14:textId="5C24DB5F" w:rsidR="00992F75" w:rsidRPr="006F679B" w:rsidRDefault="000F43DA" w:rsidP="003E03C8">
      <w:pPr>
        <w:jc w:val="both"/>
      </w:pPr>
      <w:r w:rsidRPr="006F679B">
        <w:t>Omega Capital Management, LLC is an independent fee-only Registered Investment Advisor and Financial Planning firm. We are committed to assisting our clients' develop and advance their investment and financial aspirations. What makes Omega Capital unique as an investment advisor is that we are truly independent and have no affiliations with any of the investment products we offer or the distributors we use. Operating as a fee-only investment advisor assures our clients’ that our investment advice is solely based on their needs, o</w:t>
      </w:r>
      <w:r w:rsidR="00992F75" w:rsidRPr="006F679B">
        <w:t>bjectives and risk tolerance.   W</w:t>
      </w:r>
      <w:r w:rsidRPr="006F679B">
        <w:t>e aim to educate oursel</w:t>
      </w:r>
      <w:r w:rsidR="00992F75" w:rsidRPr="006F679B">
        <w:t>ves</w:t>
      </w:r>
      <w:r w:rsidRPr="006F679B">
        <w:t xml:space="preserve"> about our </w:t>
      </w:r>
      <w:r w:rsidR="00BD5065">
        <w:t xml:space="preserve">clients’ </w:t>
      </w:r>
      <w:r w:rsidRPr="006F679B">
        <w:t>personal and financial lives so that we may assist them in making informed decisions regarding all aspects of the financial planning process.  Our clients’ take comfort in knowing that our independence allows us to focus on what is most important</w:t>
      </w:r>
      <w:r w:rsidR="00A92A9D">
        <w:t xml:space="preserve"> </w:t>
      </w:r>
      <w:r w:rsidRPr="006F679B">
        <w:t>the client </w:t>
      </w:r>
    </w:p>
    <w:p w14:paraId="1882A81E" w14:textId="77777777" w:rsidR="000F43DA" w:rsidRPr="006F679B" w:rsidRDefault="00992F75" w:rsidP="003E03C8">
      <w:pPr>
        <w:pStyle w:val="NormalWeb"/>
        <w:jc w:val="both"/>
        <w:rPr>
          <w:sz w:val="20"/>
          <w:szCs w:val="20"/>
        </w:rPr>
      </w:pPr>
      <w:r w:rsidRPr="006F679B">
        <w:rPr>
          <w:color w:val="000000"/>
          <w:sz w:val="20"/>
          <w:szCs w:val="20"/>
        </w:rPr>
        <w:t>It is our mission to become our clients’ most trusted advisor and educator in the process of identifying their investment, retirement, insurance, financial and estate planning goals as well as developing and implementing a sound and effective strategy.</w:t>
      </w:r>
    </w:p>
    <w:p w14:paraId="67783C8C" w14:textId="25DECF04" w:rsidR="00EF3655" w:rsidRPr="006F679B" w:rsidRDefault="001110D9" w:rsidP="003E03C8">
      <w:pPr>
        <w:jc w:val="both"/>
      </w:pPr>
      <w:r w:rsidRPr="006F679B">
        <w:t xml:space="preserve">Client assets managed by </w:t>
      </w:r>
      <w:r w:rsidR="001A180F" w:rsidRPr="006F679B">
        <w:t xml:space="preserve">Omega Capital Management, LLC </w:t>
      </w:r>
      <w:r w:rsidRPr="006F679B">
        <w:t>are held at qualified independent</w:t>
      </w:r>
      <w:r w:rsidR="001144FB" w:rsidRPr="006F679B">
        <w:t xml:space="preserve"> </w:t>
      </w:r>
      <w:r w:rsidR="001A180F" w:rsidRPr="006F679B">
        <w:t>custodian</w:t>
      </w:r>
      <w:r w:rsidRPr="006F679B">
        <w:t>s.</w:t>
      </w:r>
      <w:r w:rsidR="001A180F" w:rsidRPr="006F679B">
        <w:t xml:space="preserve">  All client </w:t>
      </w:r>
      <w:r w:rsidR="001144FB" w:rsidRPr="006F679B">
        <w:t xml:space="preserve">brokerage account </w:t>
      </w:r>
      <w:r w:rsidR="001A180F" w:rsidRPr="006F679B">
        <w:t xml:space="preserve">assets are held </w:t>
      </w:r>
      <w:r w:rsidRPr="006F679B">
        <w:t xml:space="preserve">in custody at </w:t>
      </w:r>
      <w:r w:rsidR="001144FB" w:rsidRPr="006F679B">
        <w:t xml:space="preserve">TD Ameritrade Institutional Services, </w:t>
      </w:r>
      <w:r w:rsidRPr="006F679B">
        <w:t xml:space="preserve">a division of TD Ameritrade Inc., </w:t>
      </w:r>
      <w:r w:rsidR="001144FB" w:rsidRPr="006F679B">
        <w:t>member FINRA</w:t>
      </w:r>
      <w:r w:rsidRPr="006F679B">
        <w:t xml:space="preserve"> and </w:t>
      </w:r>
      <w:r w:rsidR="001144FB" w:rsidRPr="006F679B">
        <w:t>SIPC.</w:t>
      </w:r>
      <w:r w:rsidR="001A180F" w:rsidRPr="006F679B">
        <w:t xml:space="preserve"> </w:t>
      </w:r>
      <w:r w:rsidR="00D3721A" w:rsidRPr="006F679B">
        <w:t xml:space="preserve"> </w:t>
      </w:r>
      <w:r w:rsidR="006C6D27" w:rsidRPr="006F679B">
        <w:t>Omega Capital</w:t>
      </w:r>
      <w:r w:rsidRPr="006F679B">
        <w:t xml:space="preserve"> is neither affiliated </w:t>
      </w:r>
      <w:r w:rsidR="00D3721A" w:rsidRPr="006F679B">
        <w:t>n</w:t>
      </w:r>
      <w:r w:rsidRPr="006F679B">
        <w:t>or controlled by any other person or organiza</w:t>
      </w:r>
      <w:r w:rsidR="00D3721A" w:rsidRPr="006F679B">
        <w:t>t</w:t>
      </w:r>
      <w:r w:rsidRPr="006F679B">
        <w:t>ion.  Steven M. Bedell, CFP®,</w:t>
      </w:r>
      <w:r w:rsidR="0038416E">
        <w:t xml:space="preserve">AIF®, </w:t>
      </w:r>
      <w:r w:rsidRPr="006F679B">
        <w:t>CFS®</w:t>
      </w:r>
      <w:r w:rsidR="00B65B7B">
        <w:t>, RICP</w:t>
      </w:r>
      <w:r w:rsidR="00B65B7B" w:rsidRPr="006F679B">
        <w:t>®</w:t>
      </w:r>
      <w:r w:rsidR="00D3721A" w:rsidRPr="006F679B">
        <w:t xml:space="preserve"> is neither employed nor controlled by</w:t>
      </w:r>
      <w:r w:rsidRPr="006F679B">
        <w:t xml:space="preserve"> </w:t>
      </w:r>
      <w:r w:rsidR="00D3721A" w:rsidRPr="006F679B">
        <w:t>any outside investment company or financial services company.</w:t>
      </w:r>
      <w:r w:rsidRPr="006F679B">
        <w:t xml:space="preserve"> </w:t>
      </w:r>
    </w:p>
    <w:p w14:paraId="0AB7A2CD" w14:textId="77777777" w:rsidR="00326093" w:rsidRDefault="00326093" w:rsidP="0055749C"/>
    <w:p w14:paraId="41ED4114" w14:textId="77777777" w:rsidR="00326093" w:rsidRPr="00326093" w:rsidRDefault="00326093" w:rsidP="0055749C">
      <w:pPr>
        <w:rPr>
          <w:b/>
          <w:sz w:val="24"/>
          <w:szCs w:val="24"/>
        </w:rPr>
      </w:pPr>
      <w:r w:rsidRPr="00326093">
        <w:rPr>
          <w:b/>
          <w:sz w:val="24"/>
          <w:szCs w:val="24"/>
        </w:rPr>
        <w:t>Principal Owners</w:t>
      </w:r>
    </w:p>
    <w:p w14:paraId="45E6755B" w14:textId="60678BD3" w:rsidR="0055749C" w:rsidRPr="00F13F4B" w:rsidRDefault="001C78AF" w:rsidP="003E03C8">
      <w:pPr>
        <w:jc w:val="both"/>
      </w:pPr>
      <w:r w:rsidRPr="00F13F4B">
        <w:t>Today</w:t>
      </w:r>
      <w:r w:rsidR="000A0D65">
        <w:t>,</w:t>
      </w:r>
      <w:r w:rsidRPr="00F13F4B">
        <w:t xml:space="preserve"> Mr. Bedell remains the </w:t>
      </w:r>
      <w:r w:rsidR="003E08EF">
        <w:t>majority</w:t>
      </w:r>
      <w:r w:rsidRPr="00F13F4B">
        <w:t xml:space="preserve"> owner/principal of the firm</w:t>
      </w:r>
      <w:r w:rsidR="003E08EF">
        <w:t xml:space="preserve"> while his wife Jennifer Bedell retains a minor ownership stake </w:t>
      </w:r>
      <w:r w:rsidR="00366F1A">
        <w:t>and does not perform a</w:t>
      </w:r>
      <w:r w:rsidR="00486EE3">
        <w:t xml:space="preserve">ny managerial duties or any investment selection or any investment advisory </w:t>
      </w:r>
      <w:r w:rsidR="000A0D65">
        <w:t>duties within</w:t>
      </w:r>
      <w:r w:rsidR="00366F1A">
        <w:t xml:space="preserve"> Omega Capital</w:t>
      </w:r>
      <w:r w:rsidRPr="00F13F4B">
        <w:t>.</w:t>
      </w:r>
      <w:r w:rsidR="00602514" w:rsidRPr="00F13F4B">
        <w:t xml:space="preserve">  The firm works with a vast array of clientele that ranges in age and </w:t>
      </w:r>
      <w:r w:rsidR="00992F75">
        <w:t>net worth including individuals, f</w:t>
      </w:r>
      <w:r w:rsidR="00D520FC" w:rsidRPr="00F13F4B">
        <w:t xml:space="preserve">amilies, </w:t>
      </w:r>
      <w:r w:rsidR="00992F75">
        <w:t>r</w:t>
      </w:r>
      <w:r w:rsidR="00602514" w:rsidRPr="00F13F4B">
        <w:t xml:space="preserve">etirees, </w:t>
      </w:r>
      <w:r w:rsidR="00992F75">
        <w:t>retirement p</w:t>
      </w:r>
      <w:r w:rsidR="00D520FC" w:rsidRPr="00F13F4B">
        <w:t xml:space="preserve">lans, </w:t>
      </w:r>
      <w:r w:rsidR="00992F75">
        <w:t>b</w:t>
      </w:r>
      <w:r w:rsidR="00602514" w:rsidRPr="00F13F4B">
        <w:t>usiness</w:t>
      </w:r>
      <w:r w:rsidR="00D520FC" w:rsidRPr="00F13F4B">
        <w:t xml:space="preserve">es as well as </w:t>
      </w:r>
      <w:r w:rsidR="00992F75" w:rsidRPr="00DE0981">
        <w:t>trust and e</w:t>
      </w:r>
      <w:r w:rsidR="00602514" w:rsidRPr="00DE0981">
        <w:t>states</w:t>
      </w:r>
      <w:r w:rsidR="00D520FC" w:rsidRPr="00DE0981">
        <w:t>.</w:t>
      </w:r>
    </w:p>
    <w:p w14:paraId="3530FCC6" w14:textId="77777777" w:rsidR="004A1772" w:rsidRDefault="004A1772" w:rsidP="0055749C"/>
    <w:p w14:paraId="335E142B" w14:textId="77777777" w:rsidR="004A1772" w:rsidRDefault="004A1772" w:rsidP="002B032C">
      <w:pPr>
        <w:jc w:val="center"/>
        <w:rPr>
          <w:b/>
          <w:sz w:val="24"/>
          <w:szCs w:val="24"/>
        </w:rPr>
      </w:pPr>
      <w:r w:rsidRPr="0067763D">
        <w:rPr>
          <w:b/>
          <w:sz w:val="24"/>
          <w:szCs w:val="24"/>
          <w:u w:val="single"/>
        </w:rPr>
        <w:t>Types of Services</w:t>
      </w:r>
      <w:r w:rsidR="00602514">
        <w:rPr>
          <w:b/>
          <w:sz w:val="24"/>
          <w:szCs w:val="24"/>
        </w:rPr>
        <w:t>:</w:t>
      </w:r>
    </w:p>
    <w:p w14:paraId="3B38801A" w14:textId="77777777" w:rsidR="00602514" w:rsidRPr="004A1772" w:rsidRDefault="00602514" w:rsidP="0055749C">
      <w:pPr>
        <w:rPr>
          <w:b/>
          <w:sz w:val="24"/>
          <w:szCs w:val="24"/>
        </w:rPr>
      </w:pPr>
      <w:r>
        <w:rPr>
          <w:b/>
          <w:sz w:val="24"/>
          <w:szCs w:val="24"/>
        </w:rPr>
        <w:t>Financial Planning</w:t>
      </w:r>
    </w:p>
    <w:p w14:paraId="01972E0E" w14:textId="77777777" w:rsidR="001C78AF" w:rsidRPr="00F13F4B" w:rsidRDefault="006C6D27" w:rsidP="001C78AF">
      <w:pPr>
        <w:jc w:val="both"/>
      </w:pPr>
      <w:r>
        <w:t>Omega Capital</w:t>
      </w:r>
      <w:r w:rsidR="001C78AF" w:rsidRPr="00F13F4B">
        <w:t xml:space="preserve"> engages in broad-based, modular, and consultative financial planning services </w:t>
      </w:r>
      <w:r w:rsidR="004A1772" w:rsidRPr="00F13F4B">
        <w:t>and investment advisory services</w:t>
      </w:r>
      <w:r w:rsidR="001C78AF" w:rsidRPr="00F13F4B">
        <w:t>.</w:t>
      </w:r>
      <w:r w:rsidR="00602514" w:rsidRPr="00F13F4B">
        <w:t xml:space="preserve">  </w:t>
      </w:r>
      <w:r w:rsidR="001C78AF" w:rsidRPr="00F13F4B">
        <w:t>Financial planning and consulting services will typically involve providing a variety of services, principally advisory in nature, to clients regarding the management of their financial resources based upon an analysis of their individual needs. This service typically can include current and projected cash flow analysis, budgeting, retirement planning, insurance planning, estate planning, and education funding analysis.</w:t>
      </w:r>
    </w:p>
    <w:p w14:paraId="1FCE82F0" w14:textId="77777777" w:rsidR="001C78AF" w:rsidRPr="00F13F4B" w:rsidRDefault="001C78AF" w:rsidP="001C78AF">
      <w:pPr>
        <w:jc w:val="both"/>
      </w:pPr>
    </w:p>
    <w:p w14:paraId="5081FF57" w14:textId="77777777" w:rsidR="001C78AF" w:rsidRPr="00F13F4B" w:rsidRDefault="006C6D27" w:rsidP="001C78AF">
      <w:pPr>
        <w:jc w:val="both"/>
      </w:pPr>
      <w:r>
        <w:t>Omega Capital</w:t>
      </w:r>
      <w:r w:rsidR="001C78AF" w:rsidRPr="00F13F4B">
        <w:t xml:space="preserve"> will first conduct a complimentary initial consultation. After the initial consultation, if the client decides to engage </w:t>
      </w:r>
      <w:r>
        <w:t>Omega Capital</w:t>
      </w:r>
      <w:r w:rsidR="001C78AF" w:rsidRPr="00F13F4B">
        <w:t xml:space="preserve"> for financial planning services, </w:t>
      </w:r>
      <w:r w:rsidR="00E07108">
        <w:t>a representative of</w:t>
      </w:r>
      <w:r w:rsidR="004A1772" w:rsidRPr="00F13F4B">
        <w:t xml:space="preserve"> </w:t>
      </w:r>
      <w:r>
        <w:t>Omega Capital</w:t>
      </w:r>
      <w:r w:rsidR="001C78AF" w:rsidRPr="00F13F4B">
        <w:t xml:space="preserve"> will conduct follow up meetings as necessary, during which pertinent information about the client’s financial circumstances and objectives is collected. The pri</w:t>
      </w:r>
      <w:smartTag w:uri="urn:schemas-microsoft-com:office:smarttags" w:element="PersonName">
        <w:r w:rsidR="001C78AF" w:rsidRPr="00F13F4B">
          <w:t>mary</w:t>
        </w:r>
      </w:smartTag>
      <w:r w:rsidR="001C78AF" w:rsidRPr="00F13F4B">
        <w:t xml:space="preserve"> objective of this process is to allow </w:t>
      </w:r>
      <w:r>
        <w:t>Omega Capital</w:t>
      </w:r>
      <w:r w:rsidR="001C78AF" w:rsidRPr="00F13F4B">
        <w:t xml:space="preserve"> to assist the client in developing a strategy for the successful management of income, assets, and liabilities.</w:t>
      </w:r>
    </w:p>
    <w:p w14:paraId="262D7CE5" w14:textId="77777777" w:rsidR="004A1772" w:rsidRDefault="004A1772" w:rsidP="001C78AF">
      <w:pPr>
        <w:jc w:val="both"/>
      </w:pPr>
    </w:p>
    <w:p w14:paraId="3A1D158A" w14:textId="77777777" w:rsidR="00DF1433" w:rsidRPr="00F13F4B" w:rsidRDefault="00DF1433" w:rsidP="001C78AF">
      <w:pPr>
        <w:jc w:val="both"/>
      </w:pPr>
      <w:r>
        <w:rPr>
          <w:b/>
          <w:sz w:val="24"/>
          <w:szCs w:val="24"/>
        </w:rPr>
        <w:t>Investment Advisory</w:t>
      </w:r>
    </w:p>
    <w:p w14:paraId="08D01964" w14:textId="33339B29" w:rsidR="004A1772" w:rsidRPr="00F13F4B" w:rsidRDefault="006C6D27" w:rsidP="004A1772">
      <w:pPr>
        <w:jc w:val="both"/>
      </w:pPr>
      <w:r>
        <w:t>Omega Capital</w:t>
      </w:r>
      <w:r w:rsidR="004A1772" w:rsidRPr="00F13F4B">
        <w:t xml:space="preserve"> provides discretionary and non-discretionary asset management services to clients where the investment advice provided is custom tailored to meet the needs and investment objectives of </w:t>
      </w:r>
      <w:r w:rsidR="00A728FC">
        <w:t>each client</w:t>
      </w:r>
      <w:r w:rsidR="00B856BA">
        <w:t>. Typically, the c</w:t>
      </w:r>
      <w:r w:rsidR="004A1772" w:rsidRPr="00F13F4B">
        <w:t xml:space="preserve">lient grants </w:t>
      </w:r>
      <w:r>
        <w:t>Omega Capital</w:t>
      </w:r>
      <w:r w:rsidRPr="00F13F4B">
        <w:t xml:space="preserve"> </w:t>
      </w:r>
      <w:r w:rsidR="004A1772" w:rsidRPr="00F13F4B">
        <w:t xml:space="preserve">discretionary authority to manage the account.  Accordingly, </w:t>
      </w:r>
      <w:r>
        <w:t>Omega Capital</w:t>
      </w:r>
      <w:r w:rsidR="004A1772" w:rsidRPr="00F13F4B">
        <w:t xml:space="preserve"> is authorized to per</w:t>
      </w:r>
      <w:r w:rsidR="00B856BA">
        <w:t>form various functions</w:t>
      </w:r>
      <w:r w:rsidR="00C57F30">
        <w:t xml:space="preserve"> on our clients behalf </w:t>
      </w:r>
      <w:r w:rsidR="004A1772" w:rsidRPr="00F13F4B">
        <w:t xml:space="preserve"> w</w:t>
      </w:r>
      <w:r w:rsidR="00B856BA">
        <w:t>ithout prior approval from the c</w:t>
      </w:r>
      <w:r w:rsidR="004A1772" w:rsidRPr="00F13F4B">
        <w:t xml:space="preserve">lient.  Such functions include </w:t>
      </w:r>
      <w:r w:rsidR="00C57F30">
        <w:t xml:space="preserve">the </w:t>
      </w:r>
      <w:r w:rsidR="004A1772" w:rsidRPr="00F13F4B">
        <w:t xml:space="preserve">selection of the securities </w:t>
      </w:r>
      <w:r w:rsidR="00FE55E3">
        <w:t xml:space="preserve">as well as the </w:t>
      </w:r>
      <w:r w:rsidR="004A1772" w:rsidRPr="00F13F4B">
        <w:t xml:space="preserve">amount of </w:t>
      </w:r>
      <w:r w:rsidR="00FE55E3">
        <w:t xml:space="preserve">each security </w:t>
      </w:r>
      <w:r w:rsidR="004A1772" w:rsidRPr="00F13F4B">
        <w:t>to be bought or sold</w:t>
      </w:r>
      <w:r w:rsidR="00FE55E3">
        <w:t xml:space="preserve"> within our </w:t>
      </w:r>
      <w:r w:rsidR="000A0D65">
        <w:t>clients’</w:t>
      </w:r>
      <w:r w:rsidR="00FE55E3">
        <w:t xml:space="preserve"> accounts</w:t>
      </w:r>
      <w:r w:rsidR="004A1772" w:rsidRPr="00F13F4B">
        <w:t xml:space="preserve">.  </w:t>
      </w:r>
    </w:p>
    <w:p w14:paraId="4515841F" w14:textId="77777777" w:rsidR="004A1772" w:rsidRPr="00F13F4B" w:rsidRDefault="00FE55E3" w:rsidP="004A1772">
      <w:pPr>
        <w:pStyle w:val="Header"/>
        <w:tabs>
          <w:tab w:val="clear" w:pos="4320"/>
          <w:tab w:val="clear" w:pos="8640"/>
        </w:tabs>
        <w:jc w:val="both"/>
      </w:pPr>
      <w:r>
        <w:t xml:space="preserve">Such services will </w:t>
      </w:r>
      <w:r w:rsidR="004A1772" w:rsidRPr="00F13F4B">
        <w:t>include a risk tolerance assessment</w:t>
      </w:r>
      <w:r>
        <w:t xml:space="preserve"> as well as discussions with the client to truly understand their specific objectives and risk tolerance</w:t>
      </w:r>
      <w:r w:rsidR="004A1772" w:rsidRPr="00F13F4B">
        <w:t xml:space="preserve">.  </w:t>
      </w:r>
      <w:r w:rsidR="006C6D27">
        <w:t>Omega Capital</w:t>
      </w:r>
      <w:r w:rsidR="004A1772" w:rsidRPr="00F13F4B">
        <w:t xml:space="preserve"> </w:t>
      </w:r>
      <w:r>
        <w:t>will</w:t>
      </w:r>
      <w:r w:rsidR="004A1772" w:rsidRPr="00F13F4B">
        <w:t xml:space="preserve"> assist </w:t>
      </w:r>
      <w:r>
        <w:t xml:space="preserve">its </w:t>
      </w:r>
      <w:r w:rsidR="004A1772" w:rsidRPr="00F13F4B">
        <w:t xml:space="preserve">clients in identifying </w:t>
      </w:r>
      <w:r w:rsidR="00C57F30">
        <w:t>the</w:t>
      </w:r>
      <w:r>
        <w:t>ir optimal asset allocation</w:t>
      </w:r>
      <w:r w:rsidR="00C57F30">
        <w:t xml:space="preserve"> utilizing;</w:t>
      </w:r>
      <w:r w:rsidR="004A1772" w:rsidRPr="00F13F4B">
        <w:t xml:space="preserve"> mutual funds, ETFs, government securities, </w:t>
      </w:r>
      <w:r w:rsidR="00B856BA">
        <w:t>individual b</w:t>
      </w:r>
      <w:r w:rsidR="00A728FC">
        <w:t>ond</w:t>
      </w:r>
      <w:r w:rsidR="00C57F30">
        <w:t>s</w:t>
      </w:r>
      <w:r w:rsidR="00A728FC">
        <w:t xml:space="preserve">, preferred stocks </w:t>
      </w:r>
      <w:r w:rsidR="004A1772" w:rsidRPr="00F13F4B">
        <w:t>and other registered securities which are suitable based on a client’s profile including investment objectives and risk tolerance.  Once the</w:t>
      </w:r>
      <w:r w:rsidR="00B54FA4" w:rsidRPr="00F13F4B">
        <w:t xml:space="preserve"> portfolio is constructed, the f</w:t>
      </w:r>
      <w:r w:rsidR="004A1772" w:rsidRPr="00F13F4B">
        <w:t xml:space="preserve">irm will monitor the client’s account on a continuous basis to ensure the account remains aligned with the client’s stated financial objectives.  Where </w:t>
      </w:r>
      <w:r w:rsidR="006C6D27">
        <w:t>Omega Capital</w:t>
      </w:r>
      <w:r w:rsidR="004A1772" w:rsidRPr="00F13F4B">
        <w:t xml:space="preserve"> enters into non-discretionary arrangements with the </w:t>
      </w:r>
      <w:r w:rsidR="00A728FC">
        <w:t>c</w:t>
      </w:r>
      <w:r w:rsidR="004A1772" w:rsidRPr="00F13F4B">
        <w:t xml:space="preserve">lients, </w:t>
      </w:r>
      <w:r w:rsidR="006C6D27">
        <w:t>Omega Capital</w:t>
      </w:r>
      <w:r w:rsidR="004A1772" w:rsidRPr="00F13F4B">
        <w:t xml:space="preserve"> will obtain </w:t>
      </w:r>
      <w:r w:rsidR="00A728FC">
        <w:t>c</w:t>
      </w:r>
      <w:r w:rsidR="004A1772" w:rsidRPr="00F13F4B">
        <w:t>lient approval prior to the execution of a trade.</w:t>
      </w:r>
    </w:p>
    <w:p w14:paraId="657A6649" w14:textId="77777777" w:rsidR="00A728FC" w:rsidRDefault="00A728FC" w:rsidP="004A1772">
      <w:pPr>
        <w:pStyle w:val="Header"/>
        <w:tabs>
          <w:tab w:val="clear" w:pos="4320"/>
          <w:tab w:val="clear" w:pos="8640"/>
        </w:tabs>
        <w:jc w:val="both"/>
      </w:pPr>
    </w:p>
    <w:p w14:paraId="23B2F43C" w14:textId="77777777" w:rsidR="00FD21A4" w:rsidRPr="00F13F4B" w:rsidRDefault="00FD21A4" w:rsidP="004A1772">
      <w:pPr>
        <w:pStyle w:val="Header"/>
        <w:tabs>
          <w:tab w:val="clear" w:pos="4320"/>
          <w:tab w:val="clear" w:pos="8640"/>
        </w:tabs>
        <w:jc w:val="both"/>
      </w:pPr>
      <w:r w:rsidRPr="00F13F4B">
        <w:t>Omega Capital Management does not participate in any Wrap-Fee programs.</w:t>
      </w:r>
    </w:p>
    <w:p w14:paraId="235062FD" w14:textId="77777777" w:rsidR="004A1772" w:rsidRDefault="004A1772" w:rsidP="004A1772">
      <w:pPr>
        <w:pStyle w:val="Header"/>
        <w:tabs>
          <w:tab w:val="clear" w:pos="4320"/>
          <w:tab w:val="clear" w:pos="8640"/>
        </w:tabs>
        <w:jc w:val="both"/>
      </w:pPr>
    </w:p>
    <w:p w14:paraId="5DF2386F" w14:textId="77777777" w:rsidR="004A1772" w:rsidRPr="00602514" w:rsidRDefault="004A1772" w:rsidP="004A1772">
      <w:pPr>
        <w:pStyle w:val="Header"/>
        <w:tabs>
          <w:tab w:val="clear" w:pos="4320"/>
          <w:tab w:val="clear" w:pos="8640"/>
        </w:tabs>
        <w:jc w:val="both"/>
        <w:rPr>
          <w:b/>
          <w:sz w:val="24"/>
          <w:szCs w:val="24"/>
        </w:rPr>
      </w:pPr>
      <w:r w:rsidRPr="00602514">
        <w:rPr>
          <w:b/>
          <w:sz w:val="24"/>
          <w:szCs w:val="24"/>
        </w:rPr>
        <w:t>Retirement Plan Services</w:t>
      </w:r>
    </w:p>
    <w:p w14:paraId="306BE0D4" w14:textId="77777777" w:rsidR="004A1772" w:rsidRPr="00F13F4B" w:rsidRDefault="006C6D27" w:rsidP="004A1772">
      <w:pPr>
        <w:pStyle w:val="BodyText2"/>
        <w:spacing w:after="0" w:line="240" w:lineRule="auto"/>
        <w:jc w:val="both"/>
      </w:pPr>
      <w:r>
        <w:t>Omega Capital</w:t>
      </w:r>
      <w:r w:rsidR="004A1772" w:rsidRPr="00F13F4B">
        <w:rPr>
          <w:snapToGrid w:val="0"/>
        </w:rPr>
        <w:t xml:space="preserve"> may provide pension consulting services to employee benefit plans, the plan sponsors and fiduciaries (collectively, the “Sponsor”) based upon an analysis of the needs of the plan.  </w:t>
      </w:r>
      <w:r w:rsidR="004A1772" w:rsidRPr="00F13F4B">
        <w:t xml:space="preserve">In general, these services may include an existing plan review, formation of an investment policy statement, assisting the Sponsor in fund selection and investment options, investment performance monitoring, risk management education, and/or ongoing consulting.  Additionally, </w:t>
      </w:r>
      <w:r>
        <w:t>Omega Capital</w:t>
      </w:r>
      <w:r w:rsidR="004A1772" w:rsidRPr="00F13F4B">
        <w:t xml:space="preserve"> will offer the Sponsor assistance in setting up a relationship with a third party administrator and processing enrollment forms.  </w:t>
      </w:r>
      <w:r>
        <w:t>Omega Capital</w:t>
      </w:r>
      <w:r w:rsidR="004A1772" w:rsidRPr="00F13F4B">
        <w:t xml:space="preserve"> will also provide communication and education </w:t>
      </w:r>
      <w:r w:rsidR="0078385D">
        <w:t>material</w:t>
      </w:r>
      <w:r w:rsidR="004A1772" w:rsidRPr="00F13F4B">
        <w:t xml:space="preserve"> regarding the retirement plan to its Participants.  Information provided to participants in the educational seminars will</w:t>
      </w:r>
      <w:r w:rsidR="004A1772" w:rsidRPr="00F13F4B">
        <w:rPr>
          <w:snapToGrid w:val="0"/>
        </w:rPr>
        <w:t xml:space="preserve"> be limited to general, impersonal advice.</w:t>
      </w:r>
    </w:p>
    <w:p w14:paraId="359CEB13" w14:textId="77777777" w:rsidR="00F13F4B" w:rsidRDefault="00F13F4B" w:rsidP="004A1772">
      <w:pPr>
        <w:pStyle w:val="BodyText2"/>
        <w:spacing w:after="0" w:line="240" w:lineRule="auto"/>
        <w:jc w:val="both"/>
      </w:pPr>
    </w:p>
    <w:p w14:paraId="5FF30B5F" w14:textId="77777777" w:rsidR="004A1772" w:rsidRPr="004A1772" w:rsidRDefault="005E67D2" w:rsidP="004A1772">
      <w:pPr>
        <w:pStyle w:val="BodyText2"/>
        <w:spacing w:after="0" w:line="240" w:lineRule="auto"/>
        <w:jc w:val="both"/>
      </w:pPr>
      <w:r>
        <w:t>Retirement Plan</w:t>
      </w:r>
      <w:r w:rsidR="004A1772" w:rsidRPr="00F13F4B">
        <w:t xml:space="preserve"> services will be provided pursuant to the agreement entered into and within the parameters set fo</w:t>
      </w:r>
      <w:r w:rsidR="00FE55E3">
        <w:t>rth in the plan documents. When</w:t>
      </w:r>
      <w:r w:rsidR="004A1772" w:rsidRPr="00F13F4B">
        <w:t xml:space="preserve"> the Sponsor engages </w:t>
      </w:r>
      <w:r w:rsidR="006C6D27">
        <w:t>Omega Capital</w:t>
      </w:r>
      <w:r w:rsidR="004A1772" w:rsidRPr="00F13F4B">
        <w:t xml:space="preserve"> to provide advice to part</w:t>
      </w:r>
      <w:r w:rsidR="0086527B">
        <w:t>icipants on an individual basis, s</w:t>
      </w:r>
      <w:r w:rsidR="004A1772" w:rsidRPr="00F13F4B">
        <w:t xml:space="preserve">uch advice will be limited to general </w:t>
      </w:r>
      <w:r w:rsidR="00FE55E3">
        <w:t xml:space="preserve">retirement planning issues, </w:t>
      </w:r>
      <w:r w:rsidR="004A1772" w:rsidRPr="00F13F4B">
        <w:t xml:space="preserve">fund selection </w:t>
      </w:r>
      <w:r w:rsidR="00FE55E3">
        <w:t xml:space="preserve">as well as </w:t>
      </w:r>
      <w:r w:rsidR="004A1772" w:rsidRPr="00F13F4B">
        <w:t>an asset allocation of plan assets</w:t>
      </w:r>
      <w:r w:rsidR="004A1772" w:rsidRPr="004A1772">
        <w:t>.</w:t>
      </w:r>
    </w:p>
    <w:p w14:paraId="0A0822B1" w14:textId="77777777" w:rsidR="00602514" w:rsidRDefault="00602514" w:rsidP="004A1772">
      <w:pPr>
        <w:pStyle w:val="BodyText2"/>
        <w:spacing w:after="0" w:line="240" w:lineRule="auto"/>
        <w:jc w:val="both"/>
        <w:rPr>
          <w:snapToGrid w:val="0"/>
        </w:rPr>
      </w:pPr>
    </w:p>
    <w:p w14:paraId="75279858" w14:textId="77777777" w:rsidR="004A1772" w:rsidRDefault="004A1772" w:rsidP="004A1772">
      <w:pPr>
        <w:pStyle w:val="BodyText2"/>
        <w:spacing w:after="0" w:line="240" w:lineRule="auto"/>
        <w:jc w:val="both"/>
        <w:rPr>
          <w:snapToGrid w:val="0"/>
        </w:rPr>
      </w:pPr>
      <w:r w:rsidRPr="004A1772">
        <w:rPr>
          <w:snapToGrid w:val="0"/>
        </w:rPr>
        <w:t xml:space="preserve">Plan Participants who wish to engage </w:t>
      </w:r>
      <w:r w:rsidR="006C6D27">
        <w:t>Omega Capital</w:t>
      </w:r>
      <w:r w:rsidRPr="004A1772">
        <w:rPr>
          <w:snapToGrid w:val="0"/>
        </w:rPr>
        <w:t xml:space="preserve"> for individualized financial planning or consulting services outside the scope of the qualified plan may do so by executing a separate agreement, including separate fees and fee payment arrangements, with </w:t>
      </w:r>
      <w:r w:rsidR="006C6D27">
        <w:t>Omega Capital</w:t>
      </w:r>
      <w:r w:rsidRPr="004A1772">
        <w:rPr>
          <w:snapToGrid w:val="0"/>
        </w:rPr>
        <w:t>.</w:t>
      </w:r>
    </w:p>
    <w:p w14:paraId="3912C0B6" w14:textId="77777777" w:rsidR="00EE5818" w:rsidRDefault="00EE5818" w:rsidP="00181D6D">
      <w:pPr>
        <w:pStyle w:val="Header"/>
        <w:tabs>
          <w:tab w:val="clear" w:pos="4320"/>
          <w:tab w:val="clear" w:pos="8640"/>
        </w:tabs>
        <w:jc w:val="both"/>
      </w:pPr>
    </w:p>
    <w:p w14:paraId="1F77E98D" w14:textId="77777777" w:rsidR="00EE5818" w:rsidRDefault="00EE5818" w:rsidP="00EE5818">
      <w:pPr>
        <w:pStyle w:val="Header"/>
        <w:tabs>
          <w:tab w:val="clear" w:pos="4320"/>
          <w:tab w:val="clear" w:pos="8640"/>
        </w:tabs>
        <w:jc w:val="both"/>
        <w:rPr>
          <w:b/>
          <w:snapToGrid w:val="0"/>
          <w:sz w:val="24"/>
          <w:szCs w:val="24"/>
        </w:rPr>
      </w:pPr>
      <w:r>
        <w:rPr>
          <w:b/>
          <w:snapToGrid w:val="0"/>
          <w:sz w:val="24"/>
          <w:szCs w:val="24"/>
        </w:rPr>
        <w:t>Other</w:t>
      </w:r>
      <w:r w:rsidRPr="004C192D">
        <w:rPr>
          <w:b/>
          <w:snapToGrid w:val="0"/>
          <w:sz w:val="24"/>
          <w:szCs w:val="24"/>
        </w:rPr>
        <w:t xml:space="preserve"> Services</w:t>
      </w:r>
    </w:p>
    <w:p w14:paraId="56477B1F" w14:textId="77777777" w:rsidR="0086527B" w:rsidRDefault="0086527B" w:rsidP="00EE5818">
      <w:pPr>
        <w:pStyle w:val="Header"/>
        <w:tabs>
          <w:tab w:val="clear" w:pos="4320"/>
          <w:tab w:val="clear" w:pos="8640"/>
        </w:tabs>
        <w:jc w:val="both"/>
        <w:rPr>
          <w:snapToGrid w:val="0"/>
        </w:rPr>
      </w:pPr>
      <w:r w:rsidRPr="0086527B">
        <w:rPr>
          <w:snapToGrid w:val="0"/>
        </w:rPr>
        <w:t xml:space="preserve">From time to time </w:t>
      </w:r>
      <w:r w:rsidR="005F40B2">
        <w:rPr>
          <w:snapToGrid w:val="0"/>
        </w:rPr>
        <w:t xml:space="preserve">a </w:t>
      </w:r>
      <w:r w:rsidRPr="0086527B">
        <w:rPr>
          <w:snapToGrid w:val="0"/>
        </w:rPr>
        <w:t>client</w:t>
      </w:r>
      <w:r w:rsidR="005F40B2">
        <w:rPr>
          <w:snapToGrid w:val="0"/>
        </w:rPr>
        <w:t xml:space="preserve"> will call on </w:t>
      </w:r>
      <w:r w:rsidRPr="0086527B">
        <w:rPr>
          <w:snapToGrid w:val="0"/>
        </w:rPr>
        <w:t>Mr. Bedell for his assistance in matter</w:t>
      </w:r>
      <w:r>
        <w:rPr>
          <w:snapToGrid w:val="0"/>
        </w:rPr>
        <w:t xml:space="preserve">s not related to the services that </w:t>
      </w:r>
      <w:r w:rsidR="006C6D27">
        <w:t>Omega Capital</w:t>
      </w:r>
      <w:r>
        <w:rPr>
          <w:snapToGrid w:val="0"/>
        </w:rPr>
        <w:t xml:space="preserve"> </w:t>
      </w:r>
      <w:r w:rsidR="005F40B2">
        <w:rPr>
          <w:snapToGrid w:val="0"/>
        </w:rPr>
        <w:t xml:space="preserve">is providing </w:t>
      </w:r>
      <w:r>
        <w:rPr>
          <w:snapToGrid w:val="0"/>
        </w:rPr>
        <w:t xml:space="preserve">his client.  These might be considered concierge services.  As long as Mr. Bedell feels it is a matter that he can handle, he is happy to assist.  Though, if Mr. Bedell feels that the matter is best handled by </w:t>
      </w:r>
      <w:r w:rsidR="005F40B2">
        <w:rPr>
          <w:snapToGrid w:val="0"/>
        </w:rPr>
        <w:t xml:space="preserve">a professional such as an </w:t>
      </w:r>
      <w:r>
        <w:rPr>
          <w:snapToGrid w:val="0"/>
        </w:rPr>
        <w:t>accountant, attorney or any other professional, he will gladly recommend the services of such professional.</w:t>
      </w:r>
    </w:p>
    <w:p w14:paraId="0F4B373F" w14:textId="77777777" w:rsidR="0086527B" w:rsidRPr="0086527B" w:rsidRDefault="0086527B" w:rsidP="00EE5818">
      <w:pPr>
        <w:pStyle w:val="Header"/>
        <w:tabs>
          <w:tab w:val="clear" w:pos="4320"/>
          <w:tab w:val="clear" w:pos="8640"/>
        </w:tabs>
        <w:jc w:val="both"/>
        <w:rPr>
          <w:snapToGrid w:val="0"/>
        </w:rPr>
      </w:pPr>
    </w:p>
    <w:p w14:paraId="53931D57" w14:textId="77777777" w:rsidR="009D655F" w:rsidRPr="004C192D" w:rsidRDefault="004C5627" w:rsidP="00EE5818">
      <w:pPr>
        <w:pStyle w:val="Header"/>
        <w:tabs>
          <w:tab w:val="clear" w:pos="4320"/>
          <w:tab w:val="clear" w:pos="8640"/>
        </w:tabs>
        <w:jc w:val="both"/>
        <w:rPr>
          <w:snapToGrid w:val="0"/>
        </w:rPr>
      </w:pPr>
      <w:r>
        <w:rPr>
          <w:snapToGrid w:val="0"/>
        </w:rPr>
        <w:t>Mr. Bedell</w:t>
      </w:r>
      <w:r w:rsidR="009D655F" w:rsidRPr="004C192D">
        <w:rPr>
          <w:snapToGrid w:val="0"/>
        </w:rPr>
        <w:t xml:space="preserve"> also assist</w:t>
      </w:r>
      <w:r w:rsidR="009D655F">
        <w:rPr>
          <w:snapToGrid w:val="0"/>
        </w:rPr>
        <w:t>s</w:t>
      </w:r>
      <w:r w:rsidR="009D655F" w:rsidRPr="004C192D">
        <w:rPr>
          <w:snapToGrid w:val="0"/>
        </w:rPr>
        <w:t xml:space="preserve"> his clients or referrals with </w:t>
      </w:r>
      <w:r w:rsidR="009D655F">
        <w:rPr>
          <w:snapToGrid w:val="0"/>
        </w:rPr>
        <w:t xml:space="preserve">residential </w:t>
      </w:r>
      <w:r w:rsidR="009D655F" w:rsidRPr="004C192D">
        <w:rPr>
          <w:snapToGrid w:val="0"/>
        </w:rPr>
        <w:t>mortgage services</w:t>
      </w:r>
      <w:r w:rsidR="00FE55E3">
        <w:rPr>
          <w:snapToGrid w:val="0"/>
        </w:rPr>
        <w:t xml:space="preserve"> which is </w:t>
      </w:r>
      <w:r w:rsidR="009D655F">
        <w:rPr>
          <w:snapToGrid w:val="0"/>
        </w:rPr>
        <w:t>limited</w:t>
      </w:r>
      <w:r w:rsidR="009D655F" w:rsidRPr="004C192D">
        <w:rPr>
          <w:snapToGrid w:val="0"/>
        </w:rPr>
        <w:t xml:space="preserve"> to </w:t>
      </w:r>
      <w:r w:rsidR="009D655F">
        <w:rPr>
          <w:snapToGrid w:val="0"/>
        </w:rPr>
        <w:t xml:space="preserve">the </w:t>
      </w:r>
      <w:r w:rsidR="009D655F" w:rsidRPr="004C192D">
        <w:rPr>
          <w:snapToGrid w:val="0"/>
        </w:rPr>
        <w:t xml:space="preserve">purchase </w:t>
      </w:r>
      <w:r w:rsidR="00FE55E3">
        <w:rPr>
          <w:snapToGrid w:val="0"/>
        </w:rPr>
        <w:t xml:space="preserve">of </w:t>
      </w:r>
      <w:r w:rsidR="009D655F" w:rsidRPr="004C192D">
        <w:rPr>
          <w:snapToGrid w:val="0"/>
        </w:rPr>
        <w:t xml:space="preserve">or </w:t>
      </w:r>
      <w:r w:rsidR="00FE55E3">
        <w:rPr>
          <w:snapToGrid w:val="0"/>
        </w:rPr>
        <w:t xml:space="preserve">the </w:t>
      </w:r>
      <w:r w:rsidR="009D655F" w:rsidRPr="004C192D">
        <w:rPr>
          <w:snapToGrid w:val="0"/>
        </w:rPr>
        <w:t>refinanc</w:t>
      </w:r>
      <w:r w:rsidR="00FE55E3">
        <w:rPr>
          <w:snapToGrid w:val="0"/>
        </w:rPr>
        <w:t>ing of a home loan</w:t>
      </w:r>
      <w:r w:rsidR="009D655F" w:rsidRPr="004C192D">
        <w:rPr>
          <w:snapToGrid w:val="0"/>
        </w:rPr>
        <w:t>.</w:t>
      </w:r>
      <w:r w:rsidR="009D655F">
        <w:rPr>
          <w:snapToGrid w:val="0"/>
        </w:rPr>
        <w:t xml:space="preserve">  The loan is referred to Liberty Mortgage Services in Dover, New Jersey.  Liberty Mortgage is a licensed mortgage broker within the State of New Jersey.  Liberty Mortgage does all of the loan processing.  Mr. Bedell works with the client in completing the application and gathering most of the information and documents from the </w:t>
      </w:r>
      <w:r w:rsidR="000A731E">
        <w:rPr>
          <w:snapToGrid w:val="0"/>
        </w:rPr>
        <w:t>client required by the lender.</w:t>
      </w:r>
      <w:r w:rsidR="009D655F">
        <w:rPr>
          <w:snapToGrid w:val="0"/>
        </w:rPr>
        <w:t xml:space="preserve">  Mr. Bedell is not a</w:t>
      </w:r>
      <w:r w:rsidR="001110D9">
        <w:rPr>
          <w:snapToGrid w:val="0"/>
        </w:rPr>
        <w:t xml:space="preserve">n employee of Liberty Mortgage </w:t>
      </w:r>
      <w:r w:rsidR="009D655F">
        <w:rPr>
          <w:snapToGrid w:val="0"/>
        </w:rPr>
        <w:t xml:space="preserve">or bound by any contract with Liberty Mortgage.  </w:t>
      </w:r>
    </w:p>
    <w:p w14:paraId="13053BA2" w14:textId="77777777" w:rsidR="00023E5C" w:rsidRDefault="00023E5C" w:rsidP="00D520FC">
      <w:pPr>
        <w:pStyle w:val="BodyText2"/>
        <w:spacing w:after="0" w:line="240" w:lineRule="auto"/>
        <w:jc w:val="both"/>
        <w:rPr>
          <w:b/>
          <w:snapToGrid w:val="0"/>
          <w:sz w:val="24"/>
          <w:szCs w:val="24"/>
        </w:rPr>
      </w:pPr>
    </w:p>
    <w:p w14:paraId="4ACD6428" w14:textId="77777777" w:rsidR="00D520FC" w:rsidRDefault="00B54FA4" w:rsidP="00D520FC">
      <w:pPr>
        <w:pStyle w:val="BodyText2"/>
        <w:spacing w:after="0" w:line="240" w:lineRule="auto"/>
        <w:jc w:val="both"/>
        <w:rPr>
          <w:b/>
          <w:snapToGrid w:val="0"/>
          <w:sz w:val="24"/>
          <w:szCs w:val="24"/>
        </w:rPr>
      </w:pPr>
      <w:r>
        <w:rPr>
          <w:b/>
          <w:snapToGrid w:val="0"/>
          <w:sz w:val="24"/>
          <w:szCs w:val="24"/>
        </w:rPr>
        <w:t>Tailored Recommendations</w:t>
      </w:r>
    </w:p>
    <w:p w14:paraId="4488361C" w14:textId="4F2136A6" w:rsidR="00B54FA4" w:rsidRDefault="00B54FA4" w:rsidP="00D520FC">
      <w:pPr>
        <w:pStyle w:val="BodyText2"/>
        <w:spacing w:after="0" w:line="240" w:lineRule="auto"/>
        <w:jc w:val="both"/>
        <w:rPr>
          <w:snapToGrid w:val="0"/>
        </w:rPr>
      </w:pPr>
      <w:r w:rsidRPr="00B54FA4">
        <w:rPr>
          <w:snapToGrid w:val="0"/>
        </w:rPr>
        <w:t xml:space="preserve">Omega Capital Management, LLC </w:t>
      </w:r>
      <w:r>
        <w:rPr>
          <w:snapToGrid w:val="0"/>
        </w:rPr>
        <w:t xml:space="preserve">tailors all investment advisory services and financial planning services around each respective client.  We do not </w:t>
      </w:r>
      <w:r w:rsidR="00FE55E3">
        <w:rPr>
          <w:snapToGrid w:val="0"/>
        </w:rPr>
        <w:t>believe in using preset generic asset allocation models</w:t>
      </w:r>
      <w:r>
        <w:rPr>
          <w:snapToGrid w:val="0"/>
        </w:rPr>
        <w:t xml:space="preserve">.  </w:t>
      </w:r>
      <w:r w:rsidR="00FE55E3">
        <w:rPr>
          <w:snapToGrid w:val="0"/>
        </w:rPr>
        <w:t xml:space="preserve">All asset allocation recommendations are tailore3d for each individual client.  </w:t>
      </w:r>
      <w:r>
        <w:rPr>
          <w:snapToGrid w:val="0"/>
        </w:rPr>
        <w:t>Clients are able to impose restrictions on investing in particular investments provided th</w:t>
      </w:r>
      <w:r w:rsidR="003619A5">
        <w:rPr>
          <w:snapToGrid w:val="0"/>
        </w:rPr>
        <w:t xml:space="preserve">at Omega Capital </w:t>
      </w:r>
      <w:r>
        <w:rPr>
          <w:snapToGrid w:val="0"/>
        </w:rPr>
        <w:t>is notified in writing by the client.</w:t>
      </w:r>
    </w:p>
    <w:p w14:paraId="483A669B" w14:textId="77777777" w:rsidR="00A31A12" w:rsidRDefault="00A31A12" w:rsidP="00D520FC">
      <w:pPr>
        <w:pStyle w:val="BodyText2"/>
        <w:spacing w:after="0" w:line="240" w:lineRule="auto"/>
        <w:jc w:val="both"/>
        <w:rPr>
          <w:snapToGrid w:val="0"/>
        </w:rPr>
      </w:pPr>
    </w:p>
    <w:p w14:paraId="23244C41" w14:textId="77777777" w:rsidR="00B54FA4" w:rsidRDefault="00B54FA4" w:rsidP="00D520FC">
      <w:pPr>
        <w:pStyle w:val="BodyText2"/>
        <w:spacing w:after="0" w:line="240" w:lineRule="auto"/>
        <w:jc w:val="both"/>
        <w:rPr>
          <w:b/>
          <w:snapToGrid w:val="0"/>
          <w:sz w:val="24"/>
          <w:szCs w:val="24"/>
        </w:rPr>
      </w:pPr>
      <w:r w:rsidRPr="00B54FA4">
        <w:rPr>
          <w:b/>
          <w:snapToGrid w:val="0"/>
          <w:sz w:val="24"/>
          <w:szCs w:val="24"/>
        </w:rPr>
        <w:t>Managed Assets</w:t>
      </w:r>
    </w:p>
    <w:p w14:paraId="428E0BD1" w14:textId="4BCB8E71" w:rsidR="005F40B2" w:rsidRDefault="00B856BA" w:rsidP="00D520FC">
      <w:pPr>
        <w:pStyle w:val="BodyText2"/>
        <w:spacing w:after="0" w:line="240" w:lineRule="auto"/>
        <w:jc w:val="both"/>
        <w:rPr>
          <w:snapToGrid w:val="0"/>
        </w:rPr>
      </w:pPr>
      <w:r>
        <w:rPr>
          <w:snapToGrid w:val="0"/>
        </w:rPr>
        <w:t>Omega Capital Management</w:t>
      </w:r>
      <w:r w:rsidR="00287504">
        <w:rPr>
          <w:snapToGrid w:val="0"/>
        </w:rPr>
        <w:t>, LLC</w:t>
      </w:r>
      <w:r>
        <w:rPr>
          <w:snapToGrid w:val="0"/>
        </w:rPr>
        <w:t xml:space="preserve"> current</w:t>
      </w:r>
      <w:r w:rsidR="005F40B2">
        <w:rPr>
          <w:snapToGrid w:val="0"/>
        </w:rPr>
        <w:t>ly</w:t>
      </w:r>
      <w:r>
        <w:rPr>
          <w:snapToGrid w:val="0"/>
        </w:rPr>
        <w:t xml:space="preserve"> has $</w:t>
      </w:r>
      <w:r w:rsidR="00515205">
        <w:rPr>
          <w:snapToGrid w:val="0"/>
        </w:rPr>
        <w:t>1</w:t>
      </w:r>
      <w:r w:rsidR="00EE5461">
        <w:rPr>
          <w:snapToGrid w:val="0"/>
        </w:rPr>
        <w:t>14</w:t>
      </w:r>
      <w:r w:rsidR="005007A7">
        <w:rPr>
          <w:snapToGrid w:val="0"/>
        </w:rPr>
        <w:t>,</w:t>
      </w:r>
      <w:r w:rsidR="00EE5461">
        <w:rPr>
          <w:snapToGrid w:val="0"/>
        </w:rPr>
        <w:t>637</w:t>
      </w:r>
      <w:r>
        <w:rPr>
          <w:snapToGrid w:val="0"/>
        </w:rPr>
        <w:t>,</w:t>
      </w:r>
      <w:r w:rsidR="00EE5461">
        <w:rPr>
          <w:snapToGrid w:val="0"/>
        </w:rPr>
        <w:t>771</w:t>
      </w:r>
      <w:r>
        <w:rPr>
          <w:snapToGrid w:val="0"/>
        </w:rPr>
        <w:t xml:space="preserve"> of assets under management</w:t>
      </w:r>
      <w:r w:rsidR="002727A2">
        <w:rPr>
          <w:snapToGrid w:val="0"/>
        </w:rPr>
        <w:t xml:space="preserve"> all</w:t>
      </w:r>
      <w:r>
        <w:rPr>
          <w:snapToGrid w:val="0"/>
        </w:rPr>
        <w:t xml:space="preserve"> of which </w:t>
      </w:r>
      <w:r w:rsidR="002727A2">
        <w:rPr>
          <w:snapToGrid w:val="0"/>
        </w:rPr>
        <w:t>asset</w:t>
      </w:r>
      <w:r w:rsidR="00B54FA4" w:rsidRPr="00FD21A4">
        <w:rPr>
          <w:snapToGrid w:val="0"/>
        </w:rPr>
        <w:t xml:space="preserve">s </w:t>
      </w:r>
      <w:r>
        <w:rPr>
          <w:snapToGrid w:val="0"/>
        </w:rPr>
        <w:t xml:space="preserve">are managed </w:t>
      </w:r>
      <w:r w:rsidR="00B54FA4" w:rsidRPr="00FD21A4">
        <w:rPr>
          <w:snapToGrid w:val="0"/>
        </w:rPr>
        <w:t>on a discre</w:t>
      </w:r>
      <w:r w:rsidR="004F7E25">
        <w:rPr>
          <w:snapToGrid w:val="0"/>
        </w:rPr>
        <w:t>t</w:t>
      </w:r>
      <w:r w:rsidR="00B54FA4" w:rsidRPr="00FD21A4">
        <w:rPr>
          <w:snapToGrid w:val="0"/>
        </w:rPr>
        <w:t xml:space="preserve">ionary basis for </w:t>
      </w:r>
      <w:r w:rsidR="002727A2">
        <w:rPr>
          <w:snapToGrid w:val="0"/>
        </w:rPr>
        <w:t>our</w:t>
      </w:r>
      <w:r w:rsidR="002727A2" w:rsidRPr="00FD21A4">
        <w:rPr>
          <w:snapToGrid w:val="0"/>
        </w:rPr>
        <w:t xml:space="preserve"> </w:t>
      </w:r>
      <w:r w:rsidR="00FD21A4" w:rsidRPr="00FD21A4">
        <w:rPr>
          <w:snapToGrid w:val="0"/>
        </w:rPr>
        <w:t>clients</w:t>
      </w:r>
      <w:r w:rsidR="00366F1A">
        <w:rPr>
          <w:snapToGrid w:val="0"/>
        </w:rPr>
        <w:t>.</w:t>
      </w:r>
      <w:r w:rsidR="00515205">
        <w:rPr>
          <w:snapToGrid w:val="0"/>
        </w:rPr>
        <w:t xml:space="preserve"> This figure is reported as of the firm’s fiscal year end of December 31, 202</w:t>
      </w:r>
      <w:r w:rsidR="00EE5461">
        <w:rPr>
          <w:snapToGrid w:val="0"/>
        </w:rPr>
        <w:t>1</w:t>
      </w:r>
      <w:r w:rsidR="00515205">
        <w:rPr>
          <w:snapToGrid w:val="0"/>
        </w:rPr>
        <w:t xml:space="preserve">. </w:t>
      </w:r>
    </w:p>
    <w:p w14:paraId="5E681F39" w14:textId="07B44350" w:rsidR="005F40B2" w:rsidRDefault="005F40B2" w:rsidP="00D520FC">
      <w:pPr>
        <w:pStyle w:val="BodyText2"/>
        <w:spacing w:after="0" w:line="240" w:lineRule="auto"/>
        <w:jc w:val="both"/>
        <w:rPr>
          <w:snapToGrid w:val="0"/>
        </w:rPr>
      </w:pPr>
    </w:p>
    <w:p w14:paraId="29871BB2" w14:textId="77777777" w:rsidR="00A31A12" w:rsidRPr="00FD21A4" w:rsidRDefault="00A31A12" w:rsidP="00D520FC">
      <w:pPr>
        <w:pStyle w:val="BodyText2"/>
        <w:spacing w:after="0" w:line="240" w:lineRule="auto"/>
        <w:jc w:val="both"/>
        <w:rPr>
          <w:snapToGrid w:val="0"/>
        </w:rPr>
      </w:pPr>
    </w:p>
    <w:p w14:paraId="5B82C6CA" w14:textId="77777777" w:rsidR="001C78AF" w:rsidRPr="005A03D1" w:rsidRDefault="00856369" w:rsidP="005410A9">
      <w:pPr>
        <w:pStyle w:val="Header"/>
        <w:tabs>
          <w:tab w:val="clear" w:pos="4320"/>
          <w:tab w:val="clear" w:pos="8640"/>
        </w:tabs>
        <w:jc w:val="center"/>
        <w:rPr>
          <w:rFonts w:ascii="Arial" w:hAnsi="Arial" w:cs="Arial"/>
          <w:b/>
          <w:sz w:val="28"/>
          <w:szCs w:val="28"/>
          <w:u w:val="single"/>
        </w:rPr>
      </w:pPr>
      <w:r w:rsidRPr="005A03D1">
        <w:rPr>
          <w:rFonts w:ascii="Arial" w:hAnsi="Arial" w:cs="Arial"/>
          <w:b/>
          <w:sz w:val="28"/>
          <w:szCs w:val="28"/>
          <w:u w:val="single"/>
        </w:rPr>
        <w:t>Fees and Compensation</w:t>
      </w:r>
    </w:p>
    <w:p w14:paraId="4311219A" w14:textId="77777777" w:rsidR="00A65924" w:rsidRPr="00D3721A" w:rsidRDefault="00A65924" w:rsidP="00856369">
      <w:pPr>
        <w:pStyle w:val="Header"/>
        <w:tabs>
          <w:tab w:val="clear" w:pos="4320"/>
          <w:tab w:val="clear" w:pos="8640"/>
        </w:tabs>
        <w:jc w:val="both"/>
        <w:rPr>
          <w:rFonts w:ascii="Arial" w:hAnsi="Arial" w:cs="Arial"/>
          <w:b/>
        </w:rPr>
      </w:pPr>
    </w:p>
    <w:p w14:paraId="0342F235" w14:textId="77777777" w:rsidR="00F27D06" w:rsidRPr="00F27D06" w:rsidRDefault="00F27D06" w:rsidP="00856369">
      <w:pPr>
        <w:pStyle w:val="Header"/>
        <w:tabs>
          <w:tab w:val="clear" w:pos="4320"/>
          <w:tab w:val="clear" w:pos="8640"/>
        </w:tabs>
        <w:jc w:val="both"/>
        <w:rPr>
          <w:b/>
          <w:sz w:val="24"/>
          <w:szCs w:val="24"/>
        </w:rPr>
      </w:pPr>
      <w:r w:rsidRPr="00F27D06">
        <w:rPr>
          <w:b/>
          <w:sz w:val="24"/>
          <w:szCs w:val="24"/>
        </w:rPr>
        <w:t>Fees and Compensation</w:t>
      </w:r>
    </w:p>
    <w:p w14:paraId="3A5285E4" w14:textId="34E1A586" w:rsidR="00A65924" w:rsidRPr="00326093" w:rsidRDefault="00A65924" w:rsidP="00A65924">
      <w:pPr>
        <w:jc w:val="both"/>
      </w:pPr>
      <w:r w:rsidRPr="00A65924">
        <w:t xml:space="preserve">The annual fee for this service is billed quarterly in advance based on the market value of the assets on the last day of the previous billing period.  Fees will be assessed pro rata in the event the advisory agreement is executed at any time other than the first day of a billing period.  </w:t>
      </w:r>
      <w:r w:rsidR="006F10BE">
        <w:t xml:space="preserve">Account billing is done at the beginning of each calendar quarter. </w:t>
      </w:r>
      <w:r w:rsidR="00EE5461">
        <w:t>Unless otherwise noted in writing, our firm bills on cash.</w:t>
      </w:r>
      <w:r w:rsidR="006F10BE">
        <w:t xml:space="preserve"> </w:t>
      </w:r>
      <w:r w:rsidR="001826C7">
        <w:t xml:space="preserve">Fee are generally not negotiable.  </w:t>
      </w:r>
      <w:r w:rsidRPr="00A65924">
        <w:t xml:space="preserve">On an annualized basis, </w:t>
      </w:r>
      <w:r w:rsidR="006C6D27">
        <w:t>Omega Capital</w:t>
      </w:r>
      <w:r w:rsidR="0086527B">
        <w:t>’s</w:t>
      </w:r>
      <w:r w:rsidRPr="00A65924">
        <w:t xml:space="preserve"> fees for asset management services are based on the following </w:t>
      </w:r>
      <w:r w:rsidR="0086527B">
        <w:t xml:space="preserve">graded </w:t>
      </w:r>
      <w:r w:rsidRPr="00A65924">
        <w:t>fee schedule:</w:t>
      </w:r>
    </w:p>
    <w:p w14:paraId="0AE73CDF" w14:textId="77777777" w:rsidR="00C15AFA" w:rsidRDefault="00C15AFA" w:rsidP="00A65924">
      <w:pPr>
        <w:ind w:left="900"/>
        <w:jc w:val="both"/>
        <w:rPr>
          <w:b/>
          <w:u w:val="single"/>
        </w:rPr>
      </w:pPr>
    </w:p>
    <w:tbl>
      <w:tblPr>
        <w:tblW w:w="0" w:type="auto"/>
        <w:jc w:val="center"/>
        <w:tblLook w:val="04A0" w:firstRow="1" w:lastRow="0" w:firstColumn="1" w:lastColumn="0" w:noHBand="0" w:noVBand="1"/>
      </w:tblPr>
      <w:tblGrid>
        <w:gridCol w:w="3168"/>
        <w:gridCol w:w="2520"/>
      </w:tblGrid>
      <w:tr w:rsidR="00023E5C" w:rsidRPr="00803A06" w14:paraId="6255C942" w14:textId="77777777" w:rsidTr="008A7D41">
        <w:trPr>
          <w:jc w:val="center"/>
        </w:trPr>
        <w:tc>
          <w:tcPr>
            <w:tcW w:w="3168" w:type="dxa"/>
            <w:shd w:val="clear" w:color="auto" w:fill="auto"/>
          </w:tcPr>
          <w:p w14:paraId="6416F49A" w14:textId="77777777" w:rsidR="00023E5C" w:rsidRPr="001D14AF" w:rsidRDefault="00023E5C" w:rsidP="008A7D41">
            <w:pPr>
              <w:autoSpaceDE w:val="0"/>
              <w:autoSpaceDN w:val="0"/>
              <w:adjustRightInd w:val="0"/>
              <w:jc w:val="center"/>
              <w:rPr>
                <w:rFonts w:ascii="Cambria" w:hAnsi="Cambria"/>
                <w:b/>
                <w:spacing w:val="-3"/>
              </w:rPr>
            </w:pPr>
            <w:r w:rsidRPr="00803A06">
              <w:rPr>
                <w:rFonts w:ascii="Cambria" w:hAnsi="Cambria"/>
                <w:b/>
                <w:spacing w:val="-3"/>
              </w:rPr>
              <w:t>Assets Under Management</w:t>
            </w:r>
          </w:p>
        </w:tc>
        <w:tc>
          <w:tcPr>
            <w:tcW w:w="2520" w:type="dxa"/>
            <w:shd w:val="clear" w:color="auto" w:fill="auto"/>
          </w:tcPr>
          <w:p w14:paraId="5FB29D9F" w14:textId="77777777" w:rsidR="00023E5C" w:rsidRPr="001D14AF" w:rsidRDefault="00023E5C" w:rsidP="008A7D41">
            <w:pPr>
              <w:autoSpaceDE w:val="0"/>
              <w:autoSpaceDN w:val="0"/>
              <w:adjustRightInd w:val="0"/>
              <w:jc w:val="center"/>
              <w:rPr>
                <w:rFonts w:ascii="Cambria" w:hAnsi="Cambria"/>
                <w:b/>
                <w:spacing w:val="-3"/>
              </w:rPr>
            </w:pPr>
            <w:r w:rsidRPr="00803A06">
              <w:rPr>
                <w:rFonts w:ascii="Cambria" w:hAnsi="Cambria"/>
                <w:b/>
                <w:spacing w:val="-3"/>
              </w:rPr>
              <w:t>Annual Fee %</w:t>
            </w:r>
          </w:p>
        </w:tc>
      </w:tr>
      <w:tr w:rsidR="00023E5C" w:rsidRPr="00803A06" w14:paraId="26AA1F19" w14:textId="77777777" w:rsidTr="008A7D41">
        <w:trPr>
          <w:jc w:val="center"/>
        </w:trPr>
        <w:tc>
          <w:tcPr>
            <w:tcW w:w="3168" w:type="dxa"/>
            <w:shd w:val="clear" w:color="auto" w:fill="auto"/>
          </w:tcPr>
          <w:p w14:paraId="1016C36B" w14:textId="77777777" w:rsidR="00023E5C" w:rsidRPr="00803A06" w:rsidRDefault="00023E5C" w:rsidP="008A7D41">
            <w:pPr>
              <w:autoSpaceDE w:val="0"/>
              <w:autoSpaceDN w:val="0"/>
              <w:adjustRightInd w:val="0"/>
              <w:jc w:val="center"/>
              <w:rPr>
                <w:rFonts w:ascii="Cambria" w:hAnsi="Cambria"/>
                <w:spacing w:val="-3"/>
              </w:rPr>
            </w:pPr>
            <w:r>
              <w:rPr>
                <w:rFonts w:ascii="Cambria" w:hAnsi="Cambria" w:cs="Arial"/>
              </w:rPr>
              <w:t xml:space="preserve">First </w:t>
            </w:r>
            <w:r w:rsidRPr="00803A06">
              <w:rPr>
                <w:rFonts w:ascii="Cambria" w:hAnsi="Cambria" w:cs="Arial"/>
              </w:rPr>
              <w:t>$</w:t>
            </w:r>
            <w:r>
              <w:rPr>
                <w:rFonts w:ascii="Cambria" w:hAnsi="Cambria" w:cs="Arial"/>
              </w:rPr>
              <w:t>2,000,000</w:t>
            </w:r>
          </w:p>
        </w:tc>
        <w:tc>
          <w:tcPr>
            <w:tcW w:w="2520" w:type="dxa"/>
            <w:shd w:val="clear" w:color="auto" w:fill="auto"/>
          </w:tcPr>
          <w:p w14:paraId="54539C90" w14:textId="77777777" w:rsidR="00023E5C" w:rsidRPr="00803A06" w:rsidRDefault="00023E5C" w:rsidP="008A7D41">
            <w:pPr>
              <w:autoSpaceDE w:val="0"/>
              <w:autoSpaceDN w:val="0"/>
              <w:adjustRightInd w:val="0"/>
              <w:jc w:val="center"/>
              <w:rPr>
                <w:rFonts w:ascii="Cambria" w:hAnsi="Cambria"/>
                <w:spacing w:val="-3"/>
              </w:rPr>
            </w:pPr>
            <w:r w:rsidRPr="00803A06">
              <w:rPr>
                <w:rFonts w:ascii="Cambria" w:hAnsi="Cambria" w:cs="Arial"/>
              </w:rPr>
              <w:t>1</w:t>
            </w:r>
            <w:r>
              <w:rPr>
                <w:rFonts w:ascii="Cambria" w:hAnsi="Cambria" w:cs="Arial"/>
              </w:rPr>
              <w:t>.00</w:t>
            </w:r>
            <w:r w:rsidRPr="00803A06">
              <w:rPr>
                <w:rFonts w:ascii="Cambria" w:hAnsi="Cambria" w:cs="Arial"/>
              </w:rPr>
              <w:t>%</w:t>
            </w:r>
          </w:p>
        </w:tc>
      </w:tr>
      <w:tr w:rsidR="00023E5C" w:rsidRPr="00803A06" w14:paraId="37BFE3BF" w14:textId="77777777" w:rsidTr="008A7D41">
        <w:trPr>
          <w:jc w:val="center"/>
        </w:trPr>
        <w:tc>
          <w:tcPr>
            <w:tcW w:w="3168" w:type="dxa"/>
            <w:shd w:val="clear" w:color="auto" w:fill="auto"/>
          </w:tcPr>
          <w:p w14:paraId="6777D34D" w14:textId="77777777" w:rsidR="00023E5C" w:rsidRPr="00803A06" w:rsidRDefault="00023E5C" w:rsidP="008A7D41">
            <w:pPr>
              <w:autoSpaceDE w:val="0"/>
              <w:autoSpaceDN w:val="0"/>
              <w:adjustRightInd w:val="0"/>
              <w:jc w:val="center"/>
              <w:rPr>
                <w:rFonts w:ascii="Cambria" w:hAnsi="Cambria"/>
                <w:spacing w:val="-3"/>
              </w:rPr>
            </w:pPr>
            <w:r>
              <w:rPr>
                <w:rFonts w:ascii="Cambria" w:hAnsi="Cambria" w:cs="Arial"/>
              </w:rPr>
              <w:t>Next $5,000,000</w:t>
            </w:r>
          </w:p>
        </w:tc>
        <w:tc>
          <w:tcPr>
            <w:tcW w:w="2520" w:type="dxa"/>
            <w:shd w:val="clear" w:color="auto" w:fill="auto"/>
          </w:tcPr>
          <w:p w14:paraId="7AF22D47" w14:textId="77777777" w:rsidR="00023E5C" w:rsidRPr="00803A06" w:rsidRDefault="00023E5C" w:rsidP="008A7D41">
            <w:pPr>
              <w:autoSpaceDE w:val="0"/>
              <w:autoSpaceDN w:val="0"/>
              <w:adjustRightInd w:val="0"/>
              <w:jc w:val="center"/>
              <w:rPr>
                <w:rFonts w:ascii="Cambria" w:hAnsi="Cambria"/>
                <w:spacing w:val="-3"/>
              </w:rPr>
            </w:pPr>
            <w:r>
              <w:rPr>
                <w:rFonts w:ascii="Cambria" w:hAnsi="Cambria" w:cs="Arial"/>
              </w:rPr>
              <w:t>0</w:t>
            </w:r>
            <w:r w:rsidRPr="00803A06">
              <w:rPr>
                <w:rFonts w:ascii="Cambria" w:hAnsi="Cambria" w:cs="Arial"/>
              </w:rPr>
              <w:t>.</w:t>
            </w:r>
            <w:r>
              <w:rPr>
                <w:rFonts w:ascii="Cambria" w:hAnsi="Cambria" w:cs="Arial"/>
              </w:rPr>
              <w:t>50</w:t>
            </w:r>
            <w:r w:rsidRPr="00803A06">
              <w:rPr>
                <w:rFonts w:ascii="Cambria" w:hAnsi="Cambria" w:cs="Arial"/>
              </w:rPr>
              <w:t>%</w:t>
            </w:r>
          </w:p>
        </w:tc>
      </w:tr>
      <w:tr w:rsidR="00023E5C" w:rsidRPr="00803A06" w14:paraId="69D8A407" w14:textId="77777777" w:rsidTr="008A7D41">
        <w:trPr>
          <w:jc w:val="center"/>
        </w:trPr>
        <w:tc>
          <w:tcPr>
            <w:tcW w:w="3168" w:type="dxa"/>
            <w:shd w:val="clear" w:color="auto" w:fill="auto"/>
          </w:tcPr>
          <w:p w14:paraId="5790E00A" w14:textId="77777777" w:rsidR="00023E5C" w:rsidRPr="00803A06" w:rsidRDefault="00023E5C" w:rsidP="008A7D41">
            <w:pPr>
              <w:autoSpaceDE w:val="0"/>
              <w:autoSpaceDN w:val="0"/>
              <w:adjustRightInd w:val="0"/>
              <w:jc w:val="center"/>
              <w:rPr>
                <w:rFonts w:ascii="Cambria" w:hAnsi="Cambria"/>
                <w:spacing w:val="-3"/>
              </w:rPr>
            </w:pPr>
            <w:r>
              <w:rPr>
                <w:rFonts w:ascii="Cambria" w:hAnsi="Cambria" w:cs="Arial"/>
              </w:rPr>
              <w:t>Above $7,000,000</w:t>
            </w:r>
          </w:p>
        </w:tc>
        <w:tc>
          <w:tcPr>
            <w:tcW w:w="2520" w:type="dxa"/>
            <w:shd w:val="clear" w:color="auto" w:fill="auto"/>
          </w:tcPr>
          <w:p w14:paraId="6BEFCEAD" w14:textId="77777777" w:rsidR="00023E5C" w:rsidRPr="00803A06" w:rsidRDefault="00023E5C" w:rsidP="008A7D41">
            <w:pPr>
              <w:autoSpaceDE w:val="0"/>
              <w:autoSpaceDN w:val="0"/>
              <w:adjustRightInd w:val="0"/>
              <w:jc w:val="center"/>
              <w:rPr>
                <w:rFonts w:ascii="Cambria" w:hAnsi="Cambria"/>
                <w:spacing w:val="-3"/>
              </w:rPr>
            </w:pPr>
            <w:r>
              <w:rPr>
                <w:rFonts w:ascii="Cambria" w:hAnsi="Cambria" w:cs="Arial"/>
              </w:rPr>
              <w:t>0</w:t>
            </w:r>
            <w:r w:rsidRPr="00803A06">
              <w:rPr>
                <w:rFonts w:ascii="Cambria" w:hAnsi="Cambria" w:cs="Arial"/>
              </w:rPr>
              <w:t>.</w:t>
            </w:r>
            <w:r>
              <w:rPr>
                <w:rFonts w:ascii="Cambria" w:hAnsi="Cambria" w:cs="Arial"/>
              </w:rPr>
              <w:t>35</w:t>
            </w:r>
            <w:r w:rsidRPr="00803A06">
              <w:rPr>
                <w:rFonts w:ascii="Cambria" w:hAnsi="Cambria" w:cs="Arial"/>
              </w:rPr>
              <w:t>%</w:t>
            </w:r>
          </w:p>
        </w:tc>
      </w:tr>
    </w:tbl>
    <w:p w14:paraId="6ADCEC37" w14:textId="77777777" w:rsidR="00023E5C" w:rsidRPr="00A65924" w:rsidRDefault="00023E5C" w:rsidP="002727A2">
      <w:pPr>
        <w:jc w:val="both"/>
        <w:rPr>
          <w:b/>
        </w:rPr>
      </w:pPr>
    </w:p>
    <w:p w14:paraId="23709AAB" w14:textId="77777777" w:rsidR="004942F6" w:rsidRDefault="004942F6" w:rsidP="00F27D06">
      <w:pPr>
        <w:pStyle w:val="BodyText3"/>
      </w:pPr>
      <w:r>
        <w:t xml:space="preserve">Example: </w:t>
      </w:r>
      <w:r w:rsidR="00287504">
        <w:t xml:space="preserve">a </w:t>
      </w:r>
      <w:r>
        <w:t xml:space="preserve">proposed client with a $250,000 </w:t>
      </w:r>
      <w:r w:rsidR="00287504">
        <w:t xml:space="preserve">portfolio </w:t>
      </w:r>
      <w:r>
        <w:t>would be billed 1.00% annually which is bille</w:t>
      </w:r>
      <w:r w:rsidR="00287504">
        <w:t>d</w:t>
      </w:r>
      <w:r>
        <w:t xml:space="preserve"> at 0.25% each calendar quarter.</w:t>
      </w:r>
      <w:r w:rsidR="006C6D27">
        <w:t xml:space="preserve">  </w:t>
      </w:r>
      <w:r w:rsidR="00287504">
        <w:t>Example:</w:t>
      </w:r>
      <w:r w:rsidR="0086527B">
        <w:t xml:space="preserve"> a proposed client has a $</w:t>
      </w:r>
      <w:r w:rsidR="00065908">
        <w:t>2</w:t>
      </w:r>
      <w:r w:rsidR="0086527B">
        <w:t>,</w:t>
      </w:r>
      <w:r w:rsidR="00065908">
        <w:t>5</w:t>
      </w:r>
      <w:r w:rsidR="0086527B">
        <w:t>00,000 portfolio</w:t>
      </w:r>
      <w:r w:rsidR="00287504">
        <w:t>;</w:t>
      </w:r>
      <w:r w:rsidR="0086527B">
        <w:t xml:space="preserve"> the first </w:t>
      </w:r>
      <w:r>
        <w:t>$2,000,000 is billed at 1.00% annually whereas the remaining $</w:t>
      </w:r>
      <w:r w:rsidR="00065908">
        <w:t>5</w:t>
      </w:r>
      <w:r>
        <w:t xml:space="preserve">00,000 will be billed at 0.50% annually.  </w:t>
      </w:r>
    </w:p>
    <w:p w14:paraId="31EA4B98" w14:textId="77777777" w:rsidR="004942F6" w:rsidRDefault="004942F6" w:rsidP="00F27D06">
      <w:pPr>
        <w:pStyle w:val="BodyText3"/>
      </w:pPr>
    </w:p>
    <w:p w14:paraId="0462C5E9" w14:textId="2D2E58D1" w:rsidR="00F27D06" w:rsidRDefault="00A65924" w:rsidP="00F27D06">
      <w:pPr>
        <w:pStyle w:val="BodyText3"/>
      </w:pPr>
      <w:r w:rsidRPr="00A65924">
        <w:t xml:space="preserve">Payment of management fees will either be invoiced </w:t>
      </w:r>
      <w:r w:rsidR="00F27D06">
        <w:t xml:space="preserve">or </w:t>
      </w:r>
      <w:r w:rsidRPr="00A65924">
        <w:t xml:space="preserve">the management fees will be directly debited by the qualified custodian holding the </w:t>
      </w:r>
      <w:r w:rsidR="006C6D27">
        <w:t>c</w:t>
      </w:r>
      <w:r w:rsidRPr="00A65924">
        <w:t>lient’s fun</w:t>
      </w:r>
      <w:r w:rsidR="00B856BA">
        <w:t>ds and securities provided the c</w:t>
      </w:r>
      <w:r w:rsidRPr="00A65924">
        <w:t xml:space="preserve">lient supplies written authorization permitting the fees to be paid directly from the account. </w:t>
      </w:r>
      <w:r w:rsidR="006C6D27">
        <w:t>Omega Capital</w:t>
      </w:r>
      <w:r w:rsidR="00B856BA">
        <w:t xml:space="preserve"> will not have access to c</w:t>
      </w:r>
      <w:r w:rsidRPr="00A65924">
        <w:t xml:space="preserve">lient funds for payment of fees without written consent by the </w:t>
      </w:r>
      <w:r w:rsidR="006C6D27">
        <w:t>c</w:t>
      </w:r>
      <w:r w:rsidRPr="00A65924">
        <w:t xml:space="preserve">lient.  Further, the qualified custodian agrees to deliver an account statement, at least quarterly, directly to the </w:t>
      </w:r>
      <w:r w:rsidR="006C6D27">
        <w:t>c</w:t>
      </w:r>
      <w:r w:rsidRPr="00A65924">
        <w:t>lient, showing all disbu</w:t>
      </w:r>
      <w:r w:rsidR="00B856BA">
        <w:t>rsements from the account. The c</w:t>
      </w:r>
      <w:r w:rsidRPr="00A65924">
        <w:t xml:space="preserve">lient is encouraged to review all account statements for accuracy.  </w:t>
      </w:r>
    </w:p>
    <w:p w14:paraId="5C4F3E41" w14:textId="77777777" w:rsidR="00D15D2B" w:rsidRDefault="00D15D2B" w:rsidP="00F27D06">
      <w:pPr>
        <w:pStyle w:val="BodyText3"/>
      </w:pPr>
    </w:p>
    <w:p w14:paraId="67142FCF" w14:textId="77777777" w:rsidR="00D15D2B" w:rsidRDefault="00D15D2B" w:rsidP="00F27D06">
      <w:pPr>
        <w:pStyle w:val="BodyText3"/>
      </w:pPr>
      <w:r>
        <w:t xml:space="preserve">100% of the fees that Omega Capital Management earns from its investment advisory service are paid directly by its clients.  </w:t>
      </w:r>
      <w:r w:rsidR="00B856BA">
        <w:t xml:space="preserve">Omega Capital </w:t>
      </w:r>
      <w:r>
        <w:t xml:space="preserve">does not receive any commissions for the purchase or sale of any </w:t>
      </w:r>
      <w:r w:rsidR="00181D6D">
        <w:t xml:space="preserve">investment </w:t>
      </w:r>
      <w:r>
        <w:t>securit</w:t>
      </w:r>
      <w:r w:rsidR="00521EC3">
        <w:t>ies.</w:t>
      </w:r>
    </w:p>
    <w:p w14:paraId="0C7AFD22" w14:textId="77777777" w:rsidR="005E67D2" w:rsidRDefault="005E67D2" w:rsidP="00F27D06">
      <w:pPr>
        <w:pStyle w:val="BodyText3"/>
      </w:pPr>
    </w:p>
    <w:p w14:paraId="654DA82A" w14:textId="77777777" w:rsidR="005E67D2" w:rsidRDefault="005E67D2" w:rsidP="00F27D06">
      <w:pPr>
        <w:pStyle w:val="BodyText3"/>
        <w:rPr>
          <w:b/>
          <w:sz w:val="24"/>
          <w:szCs w:val="24"/>
        </w:rPr>
      </w:pPr>
      <w:r w:rsidRPr="005E67D2">
        <w:rPr>
          <w:b/>
          <w:sz w:val="24"/>
          <w:szCs w:val="24"/>
        </w:rPr>
        <w:t>Financial Planning</w:t>
      </w:r>
    </w:p>
    <w:p w14:paraId="6F39308A" w14:textId="6E756003" w:rsidR="005E67D2" w:rsidRPr="005E67D2" w:rsidRDefault="005E67D2" w:rsidP="005E67D2">
      <w:pPr>
        <w:jc w:val="both"/>
      </w:pPr>
      <w:r w:rsidRPr="005E67D2">
        <w:t xml:space="preserve">Generally, </w:t>
      </w:r>
      <w:r w:rsidR="00B856BA">
        <w:t xml:space="preserve">Omega Capital’s </w:t>
      </w:r>
      <w:r w:rsidRPr="005E67D2">
        <w:t xml:space="preserve">fee for financial planning and consulting is based on an estimate of the hours necessary to complete the engaged services and/or written financial plan.  </w:t>
      </w:r>
      <w:r w:rsidR="00B856BA">
        <w:t xml:space="preserve">Omega Capital‘s </w:t>
      </w:r>
      <w:r w:rsidRPr="005E67D2">
        <w:t>hourly rate is $</w:t>
      </w:r>
      <w:r w:rsidR="00015904">
        <w:t>2</w:t>
      </w:r>
      <w:r w:rsidRPr="005E67D2">
        <w:t xml:space="preserve">50. The time required to perform the engaged services may vary depending on the complexity and scope of the engagement and the </w:t>
      </w:r>
      <w:r w:rsidR="006C6D27">
        <w:t>c</w:t>
      </w:r>
      <w:r w:rsidRPr="005E67D2">
        <w:t>lient’s individual circumstances.  Fees for financial planning and consulting will be payable upon delivery of the written plan or completion of the contracted services.</w:t>
      </w:r>
    </w:p>
    <w:p w14:paraId="000823CF" w14:textId="77777777" w:rsidR="005E67D2" w:rsidRPr="005E67D2" w:rsidRDefault="005E67D2" w:rsidP="005E67D2">
      <w:pPr>
        <w:pStyle w:val="Header"/>
        <w:tabs>
          <w:tab w:val="clear" w:pos="4320"/>
          <w:tab w:val="clear" w:pos="8640"/>
        </w:tabs>
      </w:pPr>
    </w:p>
    <w:p w14:paraId="53527179" w14:textId="77777777" w:rsidR="005E67D2" w:rsidRPr="005E67D2" w:rsidRDefault="005E67D2" w:rsidP="005E67D2">
      <w:pPr>
        <w:pStyle w:val="Header"/>
        <w:tabs>
          <w:tab w:val="left" w:pos="720"/>
        </w:tabs>
        <w:jc w:val="both"/>
        <w:rPr>
          <w:b/>
          <w:sz w:val="24"/>
          <w:szCs w:val="24"/>
        </w:rPr>
      </w:pPr>
      <w:r w:rsidRPr="005E67D2">
        <w:t xml:space="preserve">An estimate of the total time/cost will be determined at the start of the advisory relationship and disclosed to the </w:t>
      </w:r>
      <w:r w:rsidR="006C6D27">
        <w:t>c</w:t>
      </w:r>
      <w:r w:rsidRPr="005E67D2">
        <w:t xml:space="preserve">lient at that time.  In limited circumstances, the time/cost could potentially exceed the initial estimate.  In such cases, </w:t>
      </w:r>
      <w:r w:rsidR="00B856BA">
        <w:t>Omega Capital</w:t>
      </w:r>
      <w:r w:rsidR="00B856BA" w:rsidRPr="005E67D2">
        <w:t xml:space="preserve"> </w:t>
      </w:r>
      <w:r w:rsidRPr="005E67D2">
        <w:t xml:space="preserve">will notify the </w:t>
      </w:r>
      <w:r w:rsidR="006C6D27">
        <w:t>c</w:t>
      </w:r>
      <w:r w:rsidRPr="005E67D2">
        <w:t xml:space="preserve">lient and may request that the </w:t>
      </w:r>
      <w:r w:rsidR="006C6D27">
        <w:t>c</w:t>
      </w:r>
      <w:r w:rsidRPr="005E67D2">
        <w:t xml:space="preserve">lient approve the additional fee.  Typically, the total estimated fee will be due upon completion of the services rendered.  </w:t>
      </w:r>
    </w:p>
    <w:p w14:paraId="5AD38EE4" w14:textId="77777777" w:rsidR="00366F1A" w:rsidRDefault="00366F1A" w:rsidP="00F27D06">
      <w:pPr>
        <w:pStyle w:val="BodyText3"/>
        <w:rPr>
          <w:b/>
          <w:sz w:val="24"/>
          <w:szCs w:val="24"/>
        </w:rPr>
      </w:pPr>
    </w:p>
    <w:p w14:paraId="011DAED4" w14:textId="77777777" w:rsidR="00F27D06" w:rsidRPr="00F27D06" w:rsidRDefault="00F27D06" w:rsidP="00F27D06">
      <w:pPr>
        <w:pStyle w:val="BodyText3"/>
        <w:rPr>
          <w:b/>
          <w:sz w:val="24"/>
          <w:szCs w:val="24"/>
        </w:rPr>
      </w:pPr>
      <w:r w:rsidRPr="00F27D06">
        <w:rPr>
          <w:b/>
          <w:sz w:val="24"/>
          <w:szCs w:val="24"/>
        </w:rPr>
        <w:t>Other Fees</w:t>
      </w:r>
    </w:p>
    <w:p w14:paraId="6AC8A101" w14:textId="02E483E8" w:rsidR="00A65924" w:rsidRPr="00F27D06" w:rsidRDefault="00F27D06" w:rsidP="00A65924">
      <w:pPr>
        <w:jc w:val="both"/>
      </w:pPr>
      <w:r w:rsidRPr="00F27D06">
        <w:t>The c</w:t>
      </w:r>
      <w:r w:rsidRPr="00F27D06">
        <w:rPr>
          <w:color w:val="000000"/>
        </w:rPr>
        <w:t>lient</w:t>
      </w:r>
      <w:r w:rsidRPr="00F27D06">
        <w:t xml:space="preserve"> is responsible for payment of all brokerage fees/transaction charges incurred in implementing financial planning recommendations and managing the portfolio.  </w:t>
      </w:r>
      <w:r w:rsidR="006C6D27">
        <w:t>Omega Capital</w:t>
      </w:r>
      <w:r w:rsidRPr="00F27D06">
        <w:rPr>
          <w:snapToGrid w:val="0"/>
        </w:rPr>
        <w:t xml:space="preserve"> does not share in any portion of the brokerage fees</w:t>
      </w:r>
      <w:r w:rsidR="005F40B2">
        <w:rPr>
          <w:snapToGrid w:val="0"/>
        </w:rPr>
        <w:t xml:space="preserve"> or </w:t>
      </w:r>
      <w:r w:rsidRPr="00F27D06">
        <w:rPr>
          <w:snapToGrid w:val="0"/>
        </w:rPr>
        <w:t>transaction charges imposed by the custodian holding the c</w:t>
      </w:r>
      <w:r w:rsidRPr="00F27D06">
        <w:rPr>
          <w:snapToGrid w:val="0"/>
          <w:color w:val="000000"/>
        </w:rPr>
        <w:t>lient</w:t>
      </w:r>
      <w:r w:rsidRPr="00F27D06">
        <w:rPr>
          <w:snapToGrid w:val="0"/>
        </w:rPr>
        <w:t xml:space="preserve"> funds or securities.</w:t>
      </w:r>
      <w:r>
        <w:rPr>
          <w:snapToGrid w:val="0"/>
        </w:rPr>
        <w:t xml:space="preserve">  </w:t>
      </w:r>
      <w:r w:rsidR="005F40B2">
        <w:rPr>
          <w:snapToGrid w:val="0"/>
        </w:rPr>
        <w:t>Any</w:t>
      </w:r>
      <w:r>
        <w:rPr>
          <w:snapToGrid w:val="0"/>
        </w:rPr>
        <w:t xml:space="preserve"> fee charged by a custodian for the purchase or sale of a security is usually a nominal amount and are not covered by a clients advisory fee paid to </w:t>
      </w:r>
      <w:r w:rsidR="006C6D27">
        <w:t xml:space="preserve">Omega </w:t>
      </w:r>
      <w:r w:rsidR="006C6D27" w:rsidRPr="00E679C7">
        <w:t>Capital</w:t>
      </w:r>
      <w:r w:rsidRPr="000819FC">
        <w:rPr>
          <w:snapToGrid w:val="0"/>
        </w:rPr>
        <w:t>.</w:t>
      </w:r>
      <w:r w:rsidR="00E679C7" w:rsidRPr="00263F16">
        <w:rPr>
          <w:bCs/>
        </w:rPr>
        <w:t xml:space="preserve"> TD Ameritrade, Inc. (“TD Ameritrade”) does not charge transaction fees for U.S. listed equities and exchange traded funds.</w:t>
      </w:r>
    </w:p>
    <w:p w14:paraId="2DD580BA" w14:textId="77777777" w:rsidR="00D3721A" w:rsidRDefault="00D3721A" w:rsidP="00A65924">
      <w:pPr>
        <w:pStyle w:val="Header"/>
        <w:tabs>
          <w:tab w:val="clear" w:pos="4320"/>
          <w:tab w:val="clear" w:pos="8640"/>
        </w:tabs>
        <w:jc w:val="both"/>
        <w:rPr>
          <w:b/>
          <w:sz w:val="24"/>
          <w:szCs w:val="24"/>
        </w:rPr>
      </w:pPr>
    </w:p>
    <w:p w14:paraId="72B82B05" w14:textId="77777777" w:rsidR="00A65924" w:rsidRPr="00D15D2B" w:rsidRDefault="00A65924" w:rsidP="00A65924">
      <w:pPr>
        <w:pStyle w:val="Header"/>
        <w:tabs>
          <w:tab w:val="clear" w:pos="4320"/>
          <w:tab w:val="clear" w:pos="8640"/>
        </w:tabs>
        <w:jc w:val="both"/>
        <w:rPr>
          <w:b/>
          <w:sz w:val="24"/>
          <w:szCs w:val="24"/>
        </w:rPr>
      </w:pPr>
      <w:r w:rsidRPr="00D15D2B">
        <w:rPr>
          <w:b/>
          <w:sz w:val="24"/>
          <w:szCs w:val="24"/>
        </w:rPr>
        <w:t>Termination</w:t>
      </w:r>
    </w:p>
    <w:p w14:paraId="1E575BA6" w14:textId="77777777" w:rsidR="00A65924" w:rsidRDefault="006C6D27" w:rsidP="00A65924">
      <w:pPr>
        <w:pStyle w:val="BodyText"/>
        <w:spacing w:after="0"/>
        <w:jc w:val="both"/>
      </w:pPr>
      <w:r>
        <w:t>Omega Capital</w:t>
      </w:r>
      <w:r w:rsidR="004942F6">
        <w:t xml:space="preserve"> or the c</w:t>
      </w:r>
      <w:r w:rsidR="00A65924" w:rsidRPr="00A65924">
        <w:t>lient may terminate the management agreement within five days of the date of acc</w:t>
      </w:r>
      <w:r w:rsidR="004942F6">
        <w:t>eptance without penalty to the c</w:t>
      </w:r>
      <w:r w:rsidR="00A65924" w:rsidRPr="00A65924">
        <w:t>lient.  After the five-day period, either party, upon 30 days’ written notice to the other, may terminate the management agreement. The management fee will be pro-rated for the quarter in which the cancellation notice was given and any unearne</w:t>
      </w:r>
      <w:r w:rsidR="004942F6">
        <w:t>d fees will be refunded to the c</w:t>
      </w:r>
      <w:r w:rsidR="00A65924" w:rsidRPr="00A65924">
        <w:t>lient</w:t>
      </w:r>
      <w:r w:rsidR="0033291B">
        <w:t xml:space="preserve"> upon a written request from the client</w:t>
      </w:r>
      <w:r w:rsidR="00A65924" w:rsidRPr="00A65924">
        <w:t>.</w:t>
      </w:r>
    </w:p>
    <w:p w14:paraId="1863BA76" w14:textId="77777777" w:rsidR="005A03D1" w:rsidRDefault="005A03D1" w:rsidP="00A65924">
      <w:pPr>
        <w:pStyle w:val="BodyText"/>
        <w:spacing w:after="0"/>
        <w:jc w:val="both"/>
      </w:pPr>
    </w:p>
    <w:p w14:paraId="055FB95C" w14:textId="77777777" w:rsidR="00D15D2B" w:rsidRPr="005A03D1" w:rsidRDefault="00D15D2B" w:rsidP="005410A9">
      <w:pPr>
        <w:pStyle w:val="BodyText"/>
        <w:spacing w:after="0"/>
        <w:jc w:val="center"/>
        <w:rPr>
          <w:rFonts w:ascii="Arial" w:hAnsi="Arial" w:cs="Arial"/>
          <w:b/>
          <w:sz w:val="28"/>
          <w:szCs w:val="28"/>
          <w:u w:val="single"/>
        </w:rPr>
      </w:pPr>
      <w:r w:rsidRPr="005A03D1">
        <w:rPr>
          <w:rFonts w:ascii="Arial" w:hAnsi="Arial" w:cs="Arial"/>
          <w:b/>
          <w:sz w:val="28"/>
          <w:szCs w:val="28"/>
          <w:u w:val="single"/>
        </w:rPr>
        <w:t>Performance-Based Fees</w:t>
      </w:r>
    </w:p>
    <w:p w14:paraId="4456A995" w14:textId="77777777" w:rsidR="00D15D2B" w:rsidRDefault="00D15D2B" w:rsidP="00D15D2B">
      <w:pPr>
        <w:pStyle w:val="BodyText"/>
        <w:spacing w:after="0"/>
        <w:jc w:val="both"/>
        <w:rPr>
          <w:b/>
          <w:sz w:val="24"/>
          <w:szCs w:val="24"/>
        </w:rPr>
      </w:pPr>
    </w:p>
    <w:p w14:paraId="4BB48495" w14:textId="77777777" w:rsidR="00D15D2B" w:rsidRDefault="00D15D2B" w:rsidP="00D15D2B">
      <w:pPr>
        <w:pStyle w:val="BodyText"/>
        <w:spacing w:after="0"/>
        <w:jc w:val="both"/>
        <w:rPr>
          <w:b/>
          <w:sz w:val="24"/>
          <w:szCs w:val="24"/>
        </w:rPr>
      </w:pPr>
      <w:r w:rsidRPr="00D15D2B">
        <w:rPr>
          <w:b/>
          <w:sz w:val="24"/>
          <w:szCs w:val="24"/>
        </w:rPr>
        <w:t>Performance-Based Fees</w:t>
      </w:r>
    </w:p>
    <w:p w14:paraId="674F1E98" w14:textId="77777777" w:rsidR="00D15D2B" w:rsidRDefault="00D15D2B" w:rsidP="00D15D2B">
      <w:pPr>
        <w:pStyle w:val="BodyText"/>
        <w:spacing w:after="0"/>
        <w:jc w:val="both"/>
      </w:pPr>
      <w:r w:rsidRPr="004946D7">
        <w:t xml:space="preserve">Omega Capital Management, LLC does </w:t>
      </w:r>
      <w:r w:rsidR="004946D7">
        <w:t xml:space="preserve">not </w:t>
      </w:r>
      <w:r w:rsidR="004946D7" w:rsidRPr="004946D7">
        <w:t>incorporate the</w:t>
      </w:r>
      <w:r w:rsidRPr="004946D7">
        <w:t xml:space="preserve"> </w:t>
      </w:r>
      <w:r w:rsidR="004946D7" w:rsidRPr="004946D7">
        <w:t>use of performance-based fee</w:t>
      </w:r>
      <w:r w:rsidR="004946D7">
        <w:t>s</w:t>
      </w:r>
      <w:r w:rsidR="004946D7" w:rsidRPr="004946D7">
        <w:t>.</w:t>
      </w:r>
      <w:r w:rsidR="004946D7">
        <w:rPr>
          <w:rFonts w:ascii="Arial" w:hAnsi="Arial" w:cs="Arial"/>
          <w:b/>
          <w:sz w:val="28"/>
          <w:szCs w:val="28"/>
        </w:rPr>
        <w:t xml:space="preserve">  </w:t>
      </w:r>
      <w:r w:rsidR="004946D7" w:rsidRPr="004946D7">
        <w:t>Performance-bases fee</w:t>
      </w:r>
      <w:r w:rsidR="004946D7">
        <w:t>s</w:t>
      </w:r>
      <w:r w:rsidR="004946D7" w:rsidRPr="004946D7">
        <w:t xml:space="preserve"> are when </w:t>
      </w:r>
      <w:r w:rsidR="00B856BA">
        <w:t>Omega Capital</w:t>
      </w:r>
      <w:r w:rsidR="00B856BA" w:rsidRPr="004946D7">
        <w:t xml:space="preserve"> </w:t>
      </w:r>
      <w:r w:rsidR="004946D7" w:rsidRPr="004946D7">
        <w:t xml:space="preserve">shares in a </w:t>
      </w:r>
      <w:r w:rsidR="004946D7">
        <w:t xml:space="preserve">pre-determined </w:t>
      </w:r>
      <w:r w:rsidR="004946D7" w:rsidRPr="004946D7">
        <w:t xml:space="preserve">portion of </w:t>
      </w:r>
      <w:r w:rsidR="004946D7">
        <w:t>a</w:t>
      </w:r>
      <w:r w:rsidR="004946D7" w:rsidRPr="004946D7">
        <w:t xml:space="preserve"> client</w:t>
      </w:r>
      <w:r w:rsidR="004946D7">
        <w:t>’</w:t>
      </w:r>
      <w:r w:rsidR="004946D7" w:rsidRPr="004946D7">
        <w:t xml:space="preserve">s </w:t>
      </w:r>
      <w:r w:rsidR="004946D7">
        <w:t>appreciation for a set period of time.  By u</w:t>
      </w:r>
      <w:r w:rsidR="00C74BB4">
        <w:t xml:space="preserve">tilizing an asset based fee structure, </w:t>
      </w:r>
      <w:r w:rsidR="00B856BA">
        <w:t xml:space="preserve">Omega Capital </w:t>
      </w:r>
      <w:r w:rsidR="00C74BB4">
        <w:t xml:space="preserve">fee will increase as a portfolio’s value increases whereas </w:t>
      </w:r>
      <w:r w:rsidR="00B856BA">
        <w:t>Omega Capital</w:t>
      </w:r>
      <w:r w:rsidR="00521EC3">
        <w:t>’</w:t>
      </w:r>
      <w:r w:rsidR="00C74BB4">
        <w:t>s fee will decrease as a portfolio’s value decreases.</w:t>
      </w:r>
      <w:r w:rsidR="004946D7" w:rsidRPr="004946D7">
        <w:t xml:space="preserve"> </w:t>
      </w:r>
    </w:p>
    <w:p w14:paraId="2CB1B384" w14:textId="77777777" w:rsidR="00D3721A" w:rsidRPr="00D3721A" w:rsidRDefault="00D3721A" w:rsidP="005410A9">
      <w:pPr>
        <w:pStyle w:val="BodyText"/>
        <w:spacing w:after="0"/>
        <w:jc w:val="center"/>
        <w:rPr>
          <w:rFonts w:ascii="Arial" w:hAnsi="Arial" w:cs="Arial"/>
          <w:b/>
          <w:u w:val="single"/>
        </w:rPr>
      </w:pPr>
    </w:p>
    <w:p w14:paraId="38408C52" w14:textId="77777777" w:rsidR="005A03D1" w:rsidRPr="005A03D1" w:rsidRDefault="005A03D1" w:rsidP="005410A9">
      <w:pPr>
        <w:pStyle w:val="BodyText"/>
        <w:spacing w:after="0"/>
        <w:jc w:val="center"/>
        <w:rPr>
          <w:rFonts w:ascii="Arial" w:hAnsi="Arial" w:cs="Arial"/>
          <w:b/>
          <w:sz w:val="28"/>
          <w:szCs w:val="28"/>
          <w:u w:val="single"/>
        </w:rPr>
      </w:pPr>
      <w:r w:rsidRPr="005A03D1">
        <w:rPr>
          <w:rFonts w:ascii="Arial" w:hAnsi="Arial" w:cs="Arial"/>
          <w:b/>
          <w:sz w:val="28"/>
          <w:szCs w:val="28"/>
          <w:u w:val="single"/>
        </w:rPr>
        <w:t>Types of Clients</w:t>
      </w:r>
    </w:p>
    <w:p w14:paraId="1F53F690" w14:textId="77777777" w:rsidR="005A03D1" w:rsidRDefault="005A03D1" w:rsidP="00D15D2B">
      <w:pPr>
        <w:pStyle w:val="BodyText"/>
        <w:spacing w:after="0"/>
        <w:jc w:val="both"/>
        <w:rPr>
          <w:rFonts w:ascii="Arial" w:hAnsi="Arial" w:cs="Arial"/>
          <w:b/>
          <w:sz w:val="28"/>
          <w:szCs w:val="28"/>
        </w:rPr>
      </w:pPr>
    </w:p>
    <w:p w14:paraId="7326C4CE" w14:textId="77777777" w:rsidR="005A03D1" w:rsidRPr="005A03D1" w:rsidRDefault="005A03D1" w:rsidP="005A03D1">
      <w:pPr>
        <w:pStyle w:val="BodyText"/>
        <w:spacing w:after="0"/>
        <w:jc w:val="both"/>
        <w:rPr>
          <w:b/>
          <w:sz w:val="24"/>
          <w:szCs w:val="24"/>
        </w:rPr>
      </w:pPr>
      <w:r w:rsidRPr="005A03D1">
        <w:rPr>
          <w:b/>
          <w:sz w:val="24"/>
          <w:szCs w:val="24"/>
        </w:rPr>
        <w:t>Types of Clients</w:t>
      </w:r>
    </w:p>
    <w:p w14:paraId="31591284" w14:textId="7427EB7E" w:rsidR="00181D6D" w:rsidRPr="00181D6D" w:rsidRDefault="005C3916" w:rsidP="00181D6D">
      <w:pPr>
        <w:jc w:val="both"/>
      </w:pPr>
      <w:r>
        <w:t>Omega Capital Management, LLC</w:t>
      </w:r>
      <w:r w:rsidR="00EF3655">
        <w:t xml:space="preserve"> works with a vast array of clientele that ranges in age and ne</w:t>
      </w:r>
      <w:r w:rsidR="0098139F">
        <w:t>t worth including i</w:t>
      </w:r>
      <w:r>
        <w:t>ndividuals,</w:t>
      </w:r>
      <w:r w:rsidR="00A31A12">
        <w:t xml:space="preserve"> high net worth individuals,</w:t>
      </w:r>
      <w:r>
        <w:t xml:space="preserve"> families, retirees, retirement plans, businesses as well as trust and e</w:t>
      </w:r>
      <w:r w:rsidR="00EF3655">
        <w:t xml:space="preserve">states. </w:t>
      </w:r>
      <w:r w:rsidR="00181D6D">
        <w:t xml:space="preserve"> </w:t>
      </w:r>
      <w:r w:rsidR="006C6D27">
        <w:t>Omega Capital</w:t>
      </w:r>
      <w:r w:rsidR="00181D6D" w:rsidRPr="00181D6D">
        <w:t xml:space="preserve"> generally requires a minimum of $100,000 in assets under management t</w:t>
      </w:r>
      <w:r w:rsidR="00FE4EA1">
        <w:t>o open and maintain a managed</w:t>
      </w:r>
      <w:r w:rsidR="00181D6D" w:rsidRPr="00181D6D">
        <w:t xml:space="preserve"> account. In its sole discretion, </w:t>
      </w:r>
      <w:r w:rsidR="006C6D27">
        <w:t>Omega Capital</w:t>
      </w:r>
      <w:r w:rsidR="00181D6D" w:rsidRPr="00181D6D">
        <w:t xml:space="preserve"> may waive or lower this minimum. </w:t>
      </w:r>
      <w:r w:rsidR="006C6D27">
        <w:t>Omega Capital</w:t>
      </w:r>
      <w:r>
        <w:t xml:space="preserve"> will allow c</w:t>
      </w:r>
      <w:r w:rsidR="00181D6D" w:rsidRPr="00181D6D">
        <w:t>lients of the same household to aggregate accounts for the purpose of meeting the stated account minimum and determining the annualized fee.</w:t>
      </w:r>
    </w:p>
    <w:p w14:paraId="3A5BFC7E" w14:textId="77777777" w:rsidR="00D3721A" w:rsidRPr="00D3721A" w:rsidRDefault="00D3721A" w:rsidP="00AD7878">
      <w:pPr>
        <w:jc w:val="center"/>
        <w:rPr>
          <w:rFonts w:ascii="Arial" w:hAnsi="Arial" w:cs="Arial"/>
          <w:b/>
          <w:u w:val="single"/>
        </w:rPr>
      </w:pPr>
    </w:p>
    <w:p w14:paraId="75F23960" w14:textId="77777777" w:rsidR="00856A1F" w:rsidRDefault="00856A1F" w:rsidP="00AD7878">
      <w:pPr>
        <w:jc w:val="center"/>
        <w:rPr>
          <w:rFonts w:ascii="Arial" w:hAnsi="Arial" w:cs="Arial"/>
          <w:b/>
          <w:sz w:val="28"/>
          <w:szCs w:val="28"/>
          <w:u w:val="single"/>
        </w:rPr>
      </w:pPr>
      <w:r w:rsidRPr="00856A1F">
        <w:rPr>
          <w:rFonts w:ascii="Arial" w:hAnsi="Arial" w:cs="Arial"/>
          <w:b/>
          <w:sz w:val="28"/>
          <w:szCs w:val="28"/>
          <w:u w:val="single"/>
        </w:rPr>
        <w:t>Methods of Analysis, Investment Strategies and Risk of Loss</w:t>
      </w:r>
    </w:p>
    <w:p w14:paraId="688FFC47" w14:textId="77777777" w:rsidR="00856A1F" w:rsidRPr="00D3721A" w:rsidRDefault="00856A1F" w:rsidP="00856A1F">
      <w:pPr>
        <w:pStyle w:val="BodyText"/>
        <w:spacing w:after="0"/>
        <w:jc w:val="center"/>
        <w:rPr>
          <w:rFonts w:ascii="Arial" w:hAnsi="Arial" w:cs="Arial"/>
          <w:b/>
          <w:u w:val="single"/>
        </w:rPr>
      </w:pPr>
    </w:p>
    <w:p w14:paraId="76CE18EA" w14:textId="77777777" w:rsidR="00FA0CA3" w:rsidRDefault="00FA0CA3" w:rsidP="00856A1F">
      <w:pPr>
        <w:pStyle w:val="BodyText"/>
        <w:spacing w:after="0"/>
        <w:rPr>
          <w:b/>
          <w:sz w:val="24"/>
          <w:szCs w:val="24"/>
        </w:rPr>
      </w:pPr>
      <w:r>
        <w:rPr>
          <w:b/>
          <w:sz w:val="24"/>
          <w:szCs w:val="24"/>
        </w:rPr>
        <w:t>Investment Strategy</w:t>
      </w:r>
    </w:p>
    <w:p w14:paraId="5B9EC324" w14:textId="77777777" w:rsidR="0033291B" w:rsidRDefault="00926720" w:rsidP="0033291B">
      <w:pPr>
        <w:pStyle w:val="BodyText"/>
        <w:spacing w:after="0"/>
      </w:pPr>
      <w:r>
        <w:t xml:space="preserve">The primary investment strategy employed by the </w:t>
      </w:r>
      <w:r w:rsidR="006C6D27">
        <w:t>Omega Capital</w:t>
      </w:r>
      <w:r>
        <w:t xml:space="preserve"> </w:t>
      </w:r>
      <w:r w:rsidR="00821E43">
        <w:t>is Strategic Asset Allocation</w:t>
      </w:r>
      <w:r>
        <w:t xml:space="preserve"> in which we employ the basic principles</w:t>
      </w:r>
      <w:r w:rsidRPr="00926720">
        <w:t xml:space="preserve"> o</w:t>
      </w:r>
      <w:r>
        <w:t xml:space="preserve">f Modern Portfolio Theory (MPT).  </w:t>
      </w:r>
      <w:r w:rsidRPr="00926720">
        <w:t xml:space="preserve"> Modern Portfolio Theory is the statistical analysis of historical Returns, Risk, and Correlation of various asset classes.</w:t>
      </w:r>
      <w:r>
        <w:t xml:space="preserve">  Each portfolio allocation is custom tailored to each specific client.  We do not believe in using any cookie cutter templates.  Once we have determined the asset allocation we will use both passively managed and actively managed investment vehicles to represent the various asset classes we </w:t>
      </w:r>
      <w:r w:rsidR="00FA68D8">
        <w:t xml:space="preserve">are targeting.  We use an array of </w:t>
      </w:r>
      <w:r w:rsidR="0098139F">
        <w:t xml:space="preserve">various </w:t>
      </w:r>
      <w:r w:rsidR="00FA68D8">
        <w:t xml:space="preserve">asset classes including domestic and international equities and </w:t>
      </w:r>
      <w:r w:rsidR="0098139F">
        <w:t xml:space="preserve">domestic and international </w:t>
      </w:r>
      <w:r w:rsidR="00FA68D8">
        <w:t>fixed income</w:t>
      </w:r>
      <w:r w:rsidR="0033291B">
        <w:t xml:space="preserve">.  </w:t>
      </w:r>
    </w:p>
    <w:p w14:paraId="74B118E9" w14:textId="77777777" w:rsidR="007916F0" w:rsidRDefault="00FA68D8" w:rsidP="00856A1F">
      <w:pPr>
        <w:pStyle w:val="BodyText"/>
        <w:spacing w:after="0"/>
      </w:pPr>
      <w:r>
        <w:t xml:space="preserve"> </w:t>
      </w:r>
    </w:p>
    <w:p w14:paraId="4915A4DF" w14:textId="77777777" w:rsidR="00AD7878" w:rsidRDefault="007916F0" w:rsidP="00856A1F">
      <w:pPr>
        <w:pStyle w:val="BodyText"/>
        <w:spacing w:after="0"/>
        <w:rPr>
          <w:b/>
          <w:sz w:val="24"/>
          <w:szCs w:val="24"/>
        </w:rPr>
      </w:pPr>
      <w:r>
        <w:t xml:space="preserve">Each clients investment strategy is individually tailored for each client based on their; objectives, risk tolerance, time horizon, target return, cash flow needs, tax consequences and other personal factors. </w:t>
      </w:r>
      <w:r w:rsidR="0033291B">
        <w:t xml:space="preserve"> </w:t>
      </w:r>
    </w:p>
    <w:p w14:paraId="5E62CD29" w14:textId="77777777" w:rsidR="0033291B" w:rsidRDefault="0033291B" w:rsidP="00856A1F">
      <w:pPr>
        <w:pStyle w:val="BodyText"/>
        <w:spacing w:after="0"/>
        <w:rPr>
          <w:b/>
          <w:sz w:val="24"/>
          <w:szCs w:val="24"/>
        </w:rPr>
      </w:pPr>
    </w:p>
    <w:p w14:paraId="0F65890C" w14:textId="77777777" w:rsidR="00856A1F" w:rsidRDefault="00856A1F" w:rsidP="00856A1F">
      <w:pPr>
        <w:pStyle w:val="BodyText"/>
        <w:spacing w:after="0"/>
        <w:rPr>
          <w:b/>
          <w:sz w:val="24"/>
          <w:szCs w:val="24"/>
        </w:rPr>
      </w:pPr>
      <w:r w:rsidRPr="00856A1F">
        <w:rPr>
          <w:b/>
          <w:sz w:val="24"/>
          <w:szCs w:val="24"/>
        </w:rPr>
        <w:t>Methods of Analysis</w:t>
      </w:r>
    </w:p>
    <w:p w14:paraId="45473B18" w14:textId="77777777" w:rsidR="00856A1F" w:rsidRDefault="00FA0CA3" w:rsidP="00856A1F">
      <w:pPr>
        <w:pStyle w:val="BodyText"/>
        <w:spacing w:after="0"/>
      </w:pPr>
      <w:r w:rsidRPr="007916F0">
        <w:t>Our main sources of information used to help</w:t>
      </w:r>
      <w:r w:rsidR="005F40B2">
        <w:t xml:space="preserve"> and assist</w:t>
      </w:r>
      <w:r w:rsidRPr="007916F0">
        <w:t xml:space="preserve"> us analyze </w:t>
      </w:r>
      <w:r w:rsidR="0098139F">
        <w:t xml:space="preserve">potential asset allocations, asset classes and </w:t>
      </w:r>
      <w:r w:rsidR="00181D6D" w:rsidRPr="007916F0">
        <w:t xml:space="preserve">investments are and not limited to; </w:t>
      </w:r>
      <w:r w:rsidR="00856A1F" w:rsidRPr="007916F0">
        <w:t>Morningstar</w:t>
      </w:r>
      <w:r w:rsidRPr="007916F0">
        <w:t xml:space="preserve">, information gathered directly from </w:t>
      </w:r>
      <w:r w:rsidR="00797B3C">
        <w:t xml:space="preserve">a </w:t>
      </w:r>
      <w:r w:rsidRPr="007916F0">
        <w:t xml:space="preserve">mutual fund </w:t>
      </w:r>
      <w:r w:rsidR="005F40B2">
        <w:t xml:space="preserve">or </w:t>
      </w:r>
      <w:r w:rsidRPr="007916F0">
        <w:t>exchange traded fund</w:t>
      </w:r>
      <w:r w:rsidR="00797B3C">
        <w:t xml:space="preserve"> provider</w:t>
      </w:r>
      <w:r w:rsidRPr="007916F0">
        <w:t>, conference calls,</w:t>
      </w:r>
      <w:r w:rsidR="00797B3C">
        <w:t xml:space="preserve"> seminars and webinars,</w:t>
      </w:r>
      <w:r w:rsidRPr="007916F0">
        <w:t xml:space="preserve"> charting software, </w:t>
      </w:r>
      <w:r w:rsidR="0098139F">
        <w:t>specialized financial software</w:t>
      </w:r>
      <w:r w:rsidR="00797B3C">
        <w:t xml:space="preserve">, </w:t>
      </w:r>
      <w:r w:rsidRPr="007916F0">
        <w:t>on-site and off-site meetings with fund company representatives</w:t>
      </w:r>
      <w:r w:rsidR="00797B3C">
        <w:t xml:space="preserve"> as well as </w:t>
      </w:r>
      <w:r w:rsidR="00181D6D" w:rsidRPr="007916F0">
        <w:t>Standard and Poor’s, Moody’s and Fitch rating services.</w:t>
      </w:r>
      <w:r w:rsidRPr="007916F0">
        <w:t xml:space="preserve"> </w:t>
      </w:r>
    </w:p>
    <w:p w14:paraId="6283D11C" w14:textId="77777777" w:rsidR="00023E5C" w:rsidRDefault="00023E5C" w:rsidP="00856A1F">
      <w:pPr>
        <w:pStyle w:val="BodyText"/>
        <w:spacing w:after="0"/>
        <w:rPr>
          <w:b/>
          <w:sz w:val="24"/>
          <w:szCs w:val="24"/>
        </w:rPr>
      </w:pPr>
    </w:p>
    <w:p w14:paraId="75FA096B" w14:textId="77777777" w:rsidR="007916F0" w:rsidRDefault="007916F0" w:rsidP="00856A1F">
      <w:pPr>
        <w:pStyle w:val="BodyText"/>
        <w:spacing w:after="0"/>
        <w:rPr>
          <w:b/>
          <w:sz w:val="24"/>
          <w:szCs w:val="24"/>
        </w:rPr>
      </w:pPr>
      <w:r w:rsidRPr="007916F0">
        <w:rPr>
          <w:b/>
          <w:sz w:val="24"/>
          <w:szCs w:val="24"/>
        </w:rPr>
        <w:t>Investment Risk</w:t>
      </w:r>
    </w:p>
    <w:p w14:paraId="14483D71" w14:textId="2979161C" w:rsidR="000F5BAF" w:rsidRDefault="00A2232C" w:rsidP="003E03C8">
      <w:pPr>
        <w:pStyle w:val="BodyText"/>
        <w:spacing w:after="0"/>
        <w:jc w:val="both"/>
      </w:pPr>
      <w:r w:rsidRPr="000F5BAF">
        <w:t xml:space="preserve">When </w:t>
      </w:r>
      <w:r w:rsidR="00B856BA">
        <w:t>Omega Capital</w:t>
      </w:r>
      <w:r w:rsidR="00B856BA" w:rsidRPr="000F5BAF">
        <w:t xml:space="preserve"> </w:t>
      </w:r>
      <w:r w:rsidRPr="000F5BAF">
        <w:t xml:space="preserve">constructs </w:t>
      </w:r>
      <w:r w:rsidR="0098139F">
        <w:t xml:space="preserve">a diversified portfolio </w:t>
      </w:r>
      <w:r w:rsidRPr="000F5BAF">
        <w:t xml:space="preserve">for a client, we take into account the type of risk and the amount of risk that a client is willing to accept.  While diversifying is a great </w:t>
      </w:r>
      <w:r w:rsidR="0078385D">
        <w:t xml:space="preserve">way to spread risk, it does not </w:t>
      </w:r>
      <w:r w:rsidRPr="000F5BAF">
        <w:t>eliminate risk</w:t>
      </w:r>
      <w:r>
        <w:rPr>
          <w:sz w:val="24"/>
          <w:szCs w:val="24"/>
        </w:rPr>
        <w:t>.</w:t>
      </w:r>
      <w:r w:rsidR="0078385D">
        <w:rPr>
          <w:sz w:val="24"/>
          <w:szCs w:val="24"/>
        </w:rPr>
        <w:t xml:space="preserve">  </w:t>
      </w:r>
      <w:r w:rsidR="00802CB2">
        <w:t xml:space="preserve">As with any investment strategy, the </w:t>
      </w:r>
      <w:r w:rsidR="0078385D">
        <w:t xml:space="preserve">client </w:t>
      </w:r>
      <w:r w:rsidR="00802CB2">
        <w:t>portfolio could experience a loss in value.</w:t>
      </w:r>
    </w:p>
    <w:p w14:paraId="2551FD0D" w14:textId="77777777" w:rsidR="00A31A12" w:rsidRDefault="00A31A12" w:rsidP="00856A1F">
      <w:pPr>
        <w:pStyle w:val="BodyText"/>
        <w:spacing w:after="0"/>
        <w:rPr>
          <w:sz w:val="24"/>
          <w:szCs w:val="24"/>
        </w:rPr>
      </w:pPr>
    </w:p>
    <w:p w14:paraId="225DECF0" w14:textId="77777777" w:rsidR="00A2232C" w:rsidRDefault="000F5BAF" w:rsidP="000F5BAF">
      <w:pPr>
        <w:pStyle w:val="BodyText"/>
        <w:spacing w:after="0"/>
        <w:jc w:val="center"/>
        <w:rPr>
          <w:rFonts w:ascii="Arial" w:hAnsi="Arial" w:cs="Arial"/>
          <w:b/>
          <w:sz w:val="28"/>
          <w:szCs w:val="28"/>
          <w:u w:val="single"/>
        </w:rPr>
      </w:pPr>
      <w:r w:rsidRPr="000F5BAF">
        <w:rPr>
          <w:rFonts w:ascii="Arial" w:hAnsi="Arial" w:cs="Arial"/>
          <w:b/>
          <w:sz w:val="28"/>
          <w:szCs w:val="28"/>
          <w:u w:val="single"/>
        </w:rPr>
        <w:t>Di</w:t>
      </w:r>
      <w:r w:rsidR="00521EC3">
        <w:rPr>
          <w:rFonts w:ascii="Arial" w:hAnsi="Arial" w:cs="Arial"/>
          <w:b/>
          <w:sz w:val="28"/>
          <w:szCs w:val="28"/>
          <w:u w:val="single"/>
        </w:rPr>
        <w:t>sc</w:t>
      </w:r>
      <w:r w:rsidRPr="000F5BAF">
        <w:rPr>
          <w:rFonts w:ascii="Arial" w:hAnsi="Arial" w:cs="Arial"/>
          <w:b/>
          <w:sz w:val="28"/>
          <w:szCs w:val="28"/>
          <w:u w:val="single"/>
        </w:rPr>
        <w:t>iplinary Information</w:t>
      </w:r>
    </w:p>
    <w:p w14:paraId="085776DA" w14:textId="77777777" w:rsidR="000F5BAF" w:rsidRDefault="000F5BAF" w:rsidP="000F5BAF">
      <w:pPr>
        <w:pStyle w:val="BodyText"/>
        <w:spacing w:after="0"/>
        <w:jc w:val="center"/>
        <w:rPr>
          <w:rFonts w:ascii="Arial" w:hAnsi="Arial" w:cs="Arial"/>
          <w:b/>
          <w:sz w:val="28"/>
          <w:szCs w:val="28"/>
          <w:u w:val="single"/>
        </w:rPr>
      </w:pPr>
    </w:p>
    <w:p w14:paraId="1E773D7F" w14:textId="77777777" w:rsidR="005C60D8" w:rsidRPr="00F655E4" w:rsidRDefault="005C60D8" w:rsidP="005C60D8">
      <w:pPr>
        <w:pStyle w:val="BodyText"/>
        <w:spacing w:after="0"/>
        <w:rPr>
          <w:b/>
          <w:sz w:val="24"/>
          <w:szCs w:val="24"/>
        </w:rPr>
      </w:pPr>
      <w:r w:rsidRPr="00F655E4">
        <w:rPr>
          <w:b/>
          <w:sz w:val="24"/>
          <w:szCs w:val="24"/>
        </w:rPr>
        <w:t>Disciplinary Information</w:t>
      </w:r>
    </w:p>
    <w:p w14:paraId="5F7F02BB" w14:textId="77777777" w:rsidR="000F5BAF" w:rsidRDefault="000F5BAF" w:rsidP="000F5BAF">
      <w:pPr>
        <w:pStyle w:val="BodyText"/>
        <w:spacing w:after="0"/>
      </w:pPr>
      <w:r w:rsidRPr="000F5BAF">
        <w:t xml:space="preserve">The firm and </w:t>
      </w:r>
      <w:r w:rsidR="00E57F7F">
        <w:t>Mr. Bedell</w:t>
      </w:r>
      <w:r w:rsidRPr="000F5BAF">
        <w:t xml:space="preserve"> have not been </w:t>
      </w:r>
      <w:r>
        <w:t>involved in any legal or disciplinary events related to business activities.</w:t>
      </w:r>
    </w:p>
    <w:p w14:paraId="2698B8B8" w14:textId="55659D22" w:rsidR="000F5BAF" w:rsidRDefault="000F5BAF" w:rsidP="000F5BAF">
      <w:pPr>
        <w:pStyle w:val="BodyText"/>
        <w:spacing w:after="0"/>
      </w:pPr>
    </w:p>
    <w:p w14:paraId="364A1125" w14:textId="52809294" w:rsidR="00A31A12" w:rsidRDefault="00A31A12" w:rsidP="000F5BAF">
      <w:pPr>
        <w:pStyle w:val="BodyText"/>
        <w:spacing w:after="0"/>
      </w:pPr>
    </w:p>
    <w:p w14:paraId="29842550" w14:textId="77777777" w:rsidR="00A31A12" w:rsidRDefault="00A31A12" w:rsidP="000F5BAF">
      <w:pPr>
        <w:pStyle w:val="BodyText"/>
        <w:spacing w:after="0"/>
      </w:pPr>
    </w:p>
    <w:p w14:paraId="4D7F4C2E" w14:textId="77777777" w:rsidR="000F5BAF" w:rsidRDefault="000F5BAF" w:rsidP="00AD7878">
      <w:pPr>
        <w:pStyle w:val="BodyText"/>
        <w:spacing w:after="0"/>
        <w:jc w:val="center"/>
        <w:rPr>
          <w:rFonts w:ascii="Arial" w:hAnsi="Arial" w:cs="Arial"/>
          <w:b/>
          <w:sz w:val="28"/>
          <w:szCs w:val="28"/>
          <w:u w:val="single"/>
        </w:rPr>
      </w:pPr>
      <w:r w:rsidRPr="00AD7878">
        <w:rPr>
          <w:rFonts w:ascii="Arial" w:hAnsi="Arial" w:cs="Arial"/>
          <w:b/>
          <w:sz w:val="28"/>
          <w:szCs w:val="28"/>
          <w:u w:val="single"/>
        </w:rPr>
        <w:t>Other Fin</w:t>
      </w:r>
      <w:r w:rsidR="00AD7878">
        <w:rPr>
          <w:rFonts w:ascii="Arial" w:hAnsi="Arial" w:cs="Arial"/>
          <w:b/>
          <w:sz w:val="28"/>
          <w:szCs w:val="28"/>
          <w:u w:val="single"/>
        </w:rPr>
        <w:t>ancial Industry Activities and A</w:t>
      </w:r>
      <w:r w:rsidRPr="00AD7878">
        <w:rPr>
          <w:rFonts w:ascii="Arial" w:hAnsi="Arial" w:cs="Arial"/>
          <w:b/>
          <w:sz w:val="28"/>
          <w:szCs w:val="28"/>
          <w:u w:val="single"/>
        </w:rPr>
        <w:t>ffiliations</w:t>
      </w:r>
    </w:p>
    <w:p w14:paraId="279A5036" w14:textId="77777777" w:rsidR="00AD7878" w:rsidRDefault="00AD7878" w:rsidP="00AD7878">
      <w:pPr>
        <w:pStyle w:val="BodyText2"/>
        <w:spacing w:after="0" w:line="240" w:lineRule="auto"/>
        <w:jc w:val="both"/>
        <w:rPr>
          <w:snapToGrid w:val="0"/>
        </w:rPr>
      </w:pPr>
    </w:p>
    <w:p w14:paraId="6603F6BD" w14:textId="77777777" w:rsidR="00AD7878" w:rsidRDefault="003E08EF" w:rsidP="00AD7878">
      <w:pPr>
        <w:pStyle w:val="BodyText2"/>
        <w:spacing w:after="0" w:line="240" w:lineRule="auto"/>
        <w:jc w:val="both"/>
        <w:rPr>
          <w:snapToGrid w:val="0"/>
        </w:rPr>
      </w:pPr>
      <w:r w:rsidRPr="003E08EF">
        <w:rPr>
          <w:snapToGrid w:val="0"/>
        </w:rPr>
        <w:t>Omega Capital is an independent Registered Investment Advisor and is not af</w:t>
      </w:r>
      <w:r>
        <w:rPr>
          <w:snapToGrid w:val="0"/>
        </w:rPr>
        <w:t>filiated or controlled by any outside broker, dealer or other financial institution.</w:t>
      </w:r>
    </w:p>
    <w:p w14:paraId="411DA9AB" w14:textId="77777777" w:rsidR="0078385D" w:rsidRDefault="0078385D" w:rsidP="0078385D">
      <w:pPr>
        <w:pStyle w:val="Header"/>
        <w:tabs>
          <w:tab w:val="clear" w:pos="4320"/>
          <w:tab w:val="clear" w:pos="8640"/>
        </w:tabs>
        <w:jc w:val="both"/>
        <w:rPr>
          <w:snapToGrid w:val="0"/>
        </w:rPr>
      </w:pPr>
    </w:p>
    <w:p w14:paraId="2A02EC60" w14:textId="77777777" w:rsidR="00B37684" w:rsidRPr="002727A2" w:rsidRDefault="00B37684" w:rsidP="002727A2">
      <w:pPr>
        <w:pStyle w:val="BodyText2"/>
        <w:spacing w:after="0" w:line="240" w:lineRule="auto"/>
        <w:jc w:val="both"/>
        <w:rPr>
          <w:snapToGrid w:val="0"/>
        </w:rPr>
      </w:pPr>
      <w:r w:rsidRPr="00527DF8">
        <w:rPr>
          <w:snapToGrid w:val="0"/>
        </w:rPr>
        <w:t>Representatives of our firm are insurance agents/brokers. They offer insurance products and receive customary fees as a result of insurance sales. A conflict of interest exists as these insurance sales create an incentive to recommend products based on the compensation adviser and/or our supervised persons may earn. To mitigate this potential conflict, our firm will act in the client’s best interest.</w:t>
      </w:r>
    </w:p>
    <w:p w14:paraId="2097E696" w14:textId="77777777" w:rsidR="00443A93" w:rsidRDefault="00443A93" w:rsidP="00AD7878">
      <w:pPr>
        <w:pStyle w:val="BodyText2"/>
        <w:spacing w:after="0" w:line="240" w:lineRule="auto"/>
        <w:jc w:val="both"/>
        <w:rPr>
          <w:snapToGrid w:val="0"/>
        </w:rPr>
      </w:pPr>
    </w:p>
    <w:p w14:paraId="4AA96D0C" w14:textId="2A9839FE" w:rsidR="00A31A12" w:rsidRDefault="005C60D8" w:rsidP="005C60D8">
      <w:pPr>
        <w:pStyle w:val="BodyText2"/>
        <w:spacing w:after="0" w:line="240" w:lineRule="auto"/>
        <w:jc w:val="center"/>
        <w:rPr>
          <w:rFonts w:ascii="Arial" w:hAnsi="Arial" w:cs="Arial"/>
          <w:b/>
          <w:snapToGrid w:val="0"/>
          <w:sz w:val="28"/>
          <w:szCs w:val="28"/>
          <w:u w:val="single"/>
        </w:rPr>
      </w:pPr>
      <w:r w:rsidRPr="005C60D8">
        <w:rPr>
          <w:rFonts w:ascii="Arial" w:hAnsi="Arial" w:cs="Arial"/>
          <w:b/>
          <w:snapToGrid w:val="0"/>
          <w:sz w:val="28"/>
          <w:szCs w:val="28"/>
          <w:u w:val="single"/>
        </w:rPr>
        <w:t>Code of Ethic</w:t>
      </w:r>
      <w:r>
        <w:rPr>
          <w:rFonts w:ascii="Arial" w:hAnsi="Arial" w:cs="Arial"/>
          <w:b/>
          <w:snapToGrid w:val="0"/>
          <w:sz w:val="28"/>
          <w:szCs w:val="28"/>
          <w:u w:val="single"/>
        </w:rPr>
        <w:t>s</w:t>
      </w:r>
      <w:r w:rsidRPr="005C60D8">
        <w:rPr>
          <w:rFonts w:ascii="Arial" w:hAnsi="Arial" w:cs="Arial"/>
          <w:b/>
          <w:snapToGrid w:val="0"/>
          <w:sz w:val="28"/>
          <w:szCs w:val="28"/>
          <w:u w:val="single"/>
        </w:rPr>
        <w:t>,</w:t>
      </w:r>
      <w:r>
        <w:rPr>
          <w:rFonts w:ascii="Arial" w:hAnsi="Arial" w:cs="Arial"/>
          <w:b/>
          <w:snapToGrid w:val="0"/>
          <w:sz w:val="28"/>
          <w:szCs w:val="28"/>
          <w:u w:val="single"/>
        </w:rPr>
        <w:t xml:space="preserve"> </w:t>
      </w:r>
      <w:r w:rsidRPr="005C60D8">
        <w:rPr>
          <w:rFonts w:ascii="Arial" w:hAnsi="Arial" w:cs="Arial"/>
          <w:b/>
          <w:snapToGrid w:val="0"/>
          <w:sz w:val="28"/>
          <w:szCs w:val="28"/>
          <w:u w:val="single"/>
        </w:rPr>
        <w:t>Participation i</w:t>
      </w:r>
      <w:r>
        <w:rPr>
          <w:rFonts w:ascii="Arial" w:hAnsi="Arial" w:cs="Arial"/>
          <w:b/>
          <w:snapToGrid w:val="0"/>
          <w:sz w:val="28"/>
          <w:szCs w:val="28"/>
          <w:u w:val="single"/>
        </w:rPr>
        <w:t>n</w:t>
      </w:r>
      <w:r w:rsidRPr="005C60D8">
        <w:rPr>
          <w:rFonts w:ascii="Arial" w:hAnsi="Arial" w:cs="Arial"/>
          <w:b/>
          <w:snapToGrid w:val="0"/>
          <w:sz w:val="28"/>
          <w:szCs w:val="28"/>
          <w:u w:val="single"/>
        </w:rPr>
        <w:t xml:space="preserve"> Interest in Client Transaction </w:t>
      </w:r>
    </w:p>
    <w:p w14:paraId="7E75CEFF" w14:textId="2ACB0C73" w:rsidR="005C60D8" w:rsidRPr="005C60D8" w:rsidRDefault="005C60D8" w:rsidP="005C60D8">
      <w:pPr>
        <w:pStyle w:val="BodyText2"/>
        <w:spacing w:after="0" w:line="240" w:lineRule="auto"/>
        <w:jc w:val="center"/>
        <w:rPr>
          <w:rFonts w:ascii="Arial" w:hAnsi="Arial" w:cs="Arial"/>
          <w:b/>
          <w:snapToGrid w:val="0"/>
          <w:sz w:val="28"/>
          <w:szCs w:val="28"/>
          <w:u w:val="single"/>
        </w:rPr>
      </w:pPr>
      <w:r w:rsidRPr="005C60D8">
        <w:rPr>
          <w:rFonts w:ascii="Arial" w:hAnsi="Arial" w:cs="Arial"/>
          <w:b/>
          <w:snapToGrid w:val="0"/>
          <w:sz w:val="28"/>
          <w:szCs w:val="28"/>
          <w:u w:val="single"/>
        </w:rPr>
        <w:t>and Personal Trading</w:t>
      </w:r>
    </w:p>
    <w:p w14:paraId="0893156C" w14:textId="77777777" w:rsidR="00AD7878" w:rsidRPr="005C60D8" w:rsidRDefault="00AD7878" w:rsidP="00AD7878">
      <w:pPr>
        <w:pStyle w:val="BodyText"/>
        <w:spacing w:after="0"/>
        <w:jc w:val="center"/>
        <w:rPr>
          <w:rFonts w:ascii="Arial" w:hAnsi="Arial" w:cs="Arial"/>
          <w:b/>
          <w:u w:val="single"/>
        </w:rPr>
      </w:pPr>
    </w:p>
    <w:p w14:paraId="0DA98703" w14:textId="77777777" w:rsidR="005C60D8" w:rsidRPr="004F7E25" w:rsidRDefault="005C60D8" w:rsidP="005C60D8">
      <w:pPr>
        <w:pStyle w:val="BodyText"/>
        <w:spacing w:after="0"/>
        <w:rPr>
          <w:b/>
          <w:sz w:val="24"/>
          <w:szCs w:val="24"/>
        </w:rPr>
      </w:pPr>
      <w:r w:rsidRPr="004F7E25">
        <w:rPr>
          <w:b/>
          <w:sz w:val="24"/>
          <w:szCs w:val="24"/>
        </w:rPr>
        <w:t>Code of Ethics</w:t>
      </w:r>
    </w:p>
    <w:p w14:paraId="3BAD2919" w14:textId="77777777" w:rsidR="005C60D8" w:rsidRPr="005C60D8" w:rsidRDefault="00C1390E" w:rsidP="005C60D8">
      <w:pPr>
        <w:pStyle w:val="BodyText"/>
        <w:spacing w:after="0"/>
      </w:pPr>
      <w:r>
        <w:t xml:space="preserve">Steven M. Bedell is a </w:t>
      </w:r>
      <w:r w:rsidR="005C60D8" w:rsidRPr="005C60D8">
        <w:t>CERTIFIED FINANCIAL PLANNER ™,</w:t>
      </w:r>
      <w:r w:rsidR="00407355">
        <w:t xml:space="preserve"> CFP®,</w:t>
      </w:r>
      <w:r w:rsidR="00DC5743">
        <w:t xml:space="preserve"> </w:t>
      </w:r>
      <w:r w:rsidR="005C60D8" w:rsidRPr="005C60D8">
        <w:t xml:space="preserve"> and as such;</w:t>
      </w:r>
    </w:p>
    <w:p w14:paraId="7D0E87F5" w14:textId="77777777" w:rsidR="005C60D8" w:rsidRPr="005C60D8" w:rsidRDefault="005C60D8" w:rsidP="00CF5C12">
      <w:pPr>
        <w:jc w:val="both"/>
      </w:pPr>
      <w:r w:rsidRPr="005C60D8">
        <w:t xml:space="preserve">Individuals who become certified must complete the following ongoing education and </w:t>
      </w:r>
      <w:r w:rsidR="00EF7856">
        <w:t>Code of E</w:t>
      </w:r>
      <w:r w:rsidRPr="005C60D8">
        <w:t>thics requirements in order to maintain the right to continue to use the CFP</w:t>
      </w:r>
      <w:r w:rsidRPr="005C60D8">
        <w:rPr>
          <w:vertAlign w:val="superscript"/>
        </w:rPr>
        <w:t xml:space="preserve">® </w:t>
      </w:r>
      <w:r w:rsidRPr="005C60D8">
        <w:t xml:space="preserve">marks: </w:t>
      </w:r>
    </w:p>
    <w:p w14:paraId="3182C714" w14:textId="77777777" w:rsidR="005C60D8" w:rsidRPr="005C60D8" w:rsidRDefault="005C60D8" w:rsidP="00CF5C12">
      <w:pPr>
        <w:numPr>
          <w:ilvl w:val="0"/>
          <w:numId w:val="1"/>
        </w:numPr>
        <w:jc w:val="both"/>
      </w:pPr>
      <w:r w:rsidRPr="005C60D8">
        <w:t xml:space="preserve">Continuing Education – Complete </w:t>
      </w:r>
      <w:r w:rsidR="00407355">
        <w:t>thirty</w:t>
      </w:r>
      <w:r w:rsidRPr="005C60D8">
        <w:t xml:space="preserve"> hours of continuing education hours every two years, including two hours on the Code of Ethics and other parts of the Standards of Professional Conduct, to maintain competence and keep up with developments in the financial planning field; and</w:t>
      </w:r>
    </w:p>
    <w:p w14:paraId="011C1486" w14:textId="77777777" w:rsidR="005C60D8" w:rsidRPr="005C60D8" w:rsidRDefault="005C60D8" w:rsidP="00CF5C12">
      <w:pPr>
        <w:ind w:left="720"/>
        <w:jc w:val="both"/>
      </w:pPr>
    </w:p>
    <w:p w14:paraId="2D4C0C62" w14:textId="77777777" w:rsidR="00326093" w:rsidRDefault="005C60D8" w:rsidP="00CF5C12">
      <w:pPr>
        <w:numPr>
          <w:ilvl w:val="0"/>
          <w:numId w:val="1"/>
        </w:numPr>
        <w:jc w:val="both"/>
      </w:pPr>
      <w:r w:rsidRPr="005C60D8">
        <w:t>Ethics – Renew an agreement to be bound by the Standards of Professional Conduct. The Standards prominently require that CFP</w:t>
      </w:r>
      <w:r w:rsidRPr="00326093">
        <w:rPr>
          <w:vertAlign w:val="superscript"/>
        </w:rPr>
        <w:t>®</w:t>
      </w:r>
      <w:r w:rsidRPr="005C60D8">
        <w:t xml:space="preserve"> professionals provide financial planning services at a fiduciary standard of care.  This means CFP</w:t>
      </w:r>
      <w:r w:rsidRPr="00326093">
        <w:rPr>
          <w:vertAlign w:val="superscript"/>
        </w:rPr>
        <w:t>®</w:t>
      </w:r>
      <w:r w:rsidRPr="005C60D8">
        <w:t xml:space="preserve"> professionals must provide financial planning services in the best interests of their clients.</w:t>
      </w:r>
    </w:p>
    <w:p w14:paraId="5983CBD1" w14:textId="77777777" w:rsidR="00326093" w:rsidRDefault="00326093" w:rsidP="00CF5C12">
      <w:pPr>
        <w:ind w:left="360"/>
        <w:jc w:val="both"/>
      </w:pPr>
    </w:p>
    <w:p w14:paraId="302EE974" w14:textId="77777777" w:rsidR="005C60D8" w:rsidRDefault="005C60D8" w:rsidP="00CF5C12">
      <w:pPr>
        <w:jc w:val="both"/>
      </w:pPr>
      <w:r w:rsidRPr="005C60D8">
        <w:t>CFP</w:t>
      </w:r>
      <w:r w:rsidRPr="005C60D8">
        <w:rPr>
          <w:vertAlign w:val="superscript"/>
        </w:rPr>
        <w:t>®</w:t>
      </w:r>
      <w:r w:rsidRPr="005C60D8">
        <w:t xml:space="preserve"> professionals who fail to comply with the above standards and requirements may be subject to CFP Board’s enforcement process, which could result in suspension or permanent revocation of their CFP</w:t>
      </w:r>
      <w:r w:rsidRPr="005C60D8">
        <w:rPr>
          <w:vertAlign w:val="superscript"/>
        </w:rPr>
        <w:t>®</w:t>
      </w:r>
      <w:r w:rsidRPr="005C60D8">
        <w:t xml:space="preserve"> certification.</w:t>
      </w:r>
    </w:p>
    <w:p w14:paraId="12BEE51B" w14:textId="77777777" w:rsidR="00EF7856" w:rsidRDefault="00EF7856" w:rsidP="00CF5C12">
      <w:pPr>
        <w:jc w:val="both"/>
      </w:pPr>
    </w:p>
    <w:p w14:paraId="4067E7BE" w14:textId="77777777" w:rsidR="00117909" w:rsidRDefault="00EF7856" w:rsidP="00CF5C12">
      <w:pPr>
        <w:pStyle w:val="BodyText"/>
        <w:spacing w:after="0"/>
        <w:jc w:val="both"/>
      </w:pPr>
      <w:r>
        <w:t>Steven M. Bedell is an Accredited Investment Fiduciary</w:t>
      </w:r>
      <w:r w:rsidR="00407355">
        <w:t>, AIF®,</w:t>
      </w:r>
      <w:r>
        <w:t xml:space="preserve"> </w:t>
      </w:r>
      <w:r w:rsidRPr="005C60D8">
        <w:t xml:space="preserve"> and as such;</w:t>
      </w:r>
    </w:p>
    <w:p w14:paraId="6D3240EF" w14:textId="77777777" w:rsidR="00EF7856" w:rsidRPr="005C60D8" w:rsidRDefault="00EF7856" w:rsidP="00CF5C12">
      <w:pPr>
        <w:pStyle w:val="BodyText"/>
        <w:spacing w:after="0"/>
        <w:jc w:val="both"/>
      </w:pPr>
      <w:r w:rsidRPr="005C60D8">
        <w:t xml:space="preserve">Individuals who become </w:t>
      </w:r>
      <w:r>
        <w:t>accredited</w:t>
      </w:r>
      <w:r w:rsidRPr="005C60D8">
        <w:t xml:space="preserve"> must complete the following ongoing education and </w:t>
      </w:r>
      <w:r>
        <w:t>Code of E</w:t>
      </w:r>
      <w:r w:rsidRPr="005C60D8">
        <w:t xml:space="preserve">thics requirements in order to maintain the right to continue to use the </w:t>
      </w:r>
      <w:r w:rsidR="00407355">
        <w:t>AIF®</w:t>
      </w:r>
      <w:r w:rsidRPr="005C60D8">
        <w:rPr>
          <w:vertAlign w:val="superscript"/>
        </w:rPr>
        <w:t xml:space="preserve"> </w:t>
      </w:r>
      <w:r w:rsidRPr="005C60D8">
        <w:t xml:space="preserve">marks: </w:t>
      </w:r>
    </w:p>
    <w:p w14:paraId="3BF1F3A8" w14:textId="77777777" w:rsidR="00EF7856" w:rsidRDefault="00EF7856" w:rsidP="00CF5C12">
      <w:pPr>
        <w:numPr>
          <w:ilvl w:val="0"/>
          <w:numId w:val="1"/>
        </w:numPr>
        <w:jc w:val="both"/>
      </w:pPr>
      <w:r w:rsidRPr="005C60D8">
        <w:t xml:space="preserve">Continuing Education – Complete </w:t>
      </w:r>
      <w:r w:rsidR="00407355">
        <w:t>six</w:t>
      </w:r>
      <w:r w:rsidRPr="005C60D8">
        <w:t xml:space="preserve"> hours of continuing education hours every </w:t>
      </w:r>
      <w:r>
        <w:t>year</w:t>
      </w:r>
      <w:r w:rsidRPr="005C60D8">
        <w:t xml:space="preserve">, including </w:t>
      </w:r>
      <w:r>
        <w:t>the attestation of abide by their Code of Ethics of Fi360, the governing body of the AIF® certification.</w:t>
      </w:r>
    </w:p>
    <w:p w14:paraId="18DFD11A" w14:textId="77777777" w:rsidR="00B2135B" w:rsidRDefault="00B2135B" w:rsidP="005C60D8">
      <w:pPr>
        <w:rPr>
          <w:b/>
          <w:snapToGrid w:val="0"/>
          <w:sz w:val="24"/>
          <w:szCs w:val="24"/>
        </w:rPr>
      </w:pPr>
    </w:p>
    <w:p w14:paraId="5D65A324" w14:textId="77777777" w:rsidR="00C1390E" w:rsidRPr="00E8428C" w:rsidRDefault="0078385D" w:rsidP="005C60D8">
      <w:pPr>
        <w:rPr>
          <w:b/>
          <w:snapToGrid w:val="0"/>
          <w:sz w:val="24"/>
          <w:szCs w:val="24"/>
        </w:rPr>
      </w:pPr>
      <w:r>
        <w:rPr>
          <w:b/>
          <w:snapToGrid w:val="0"/>
          <w:sz w:val="24"/>
          <w:szCs w:val="24"/>
        </w:rPr>
        <w:t>P</w:t>
      </w:r>
      <w:r w:rsidR="004F7E25">
        <w:rPr>
          <w:b/>
          <w:snapToGrid w:val="0"/>
          <w:sz w:val="24"/>
          <w:szCs w:val="24"/>
        </w:rPr>
        <w:t>articipation or</w:t>
      </w:r>
      <w:r w:rsidR="00C1390E" w:rsidRPr="00E8428C">
        <w:rPr>
          <w:b/>
          <w:snapToGrid w:val="0"/>
          <w:sz w:val="24"/>
          <w:szCs w:val="24"/>
        </w:rPr>
        <w:t xml:space="preserve"> Interest in Client Transaction</w:t>
      </w:r>
      <w:r w:rsidR="004F7E25">
        <w:rPr>
          <w:b/>
          <w:snapToGrid w:val="0"/>
          <w:sz w:val="24"/>
          <w:szCs w:val="24"/>
        </w:rPr>
        <w:t>s</w:t>
      </w:r>
      <w:r w:rsidR="00C1390E" w:rsidRPr="00E8428C">
        <w:rPr>
          <w:b/>
          <w:snapToGrid w:val="0"/>
          <w:sz w:val="24"/>
          <w:szCs w:val="24"/>
        </w:rPr>
        <w:t xml:space="preserve"> and Personal Trading</w:t>
      </w:r>
    </w:p>
    <w:p w14:paraId="1F308DF9" w14:textId="77777777" w:rsidR="00C1390E" w:rsidRPr="00C1390E" w:rsidRDefault="006C6D27" w:rsidP="00C1390E">
      <w:pPr>
        <w:jc w:val="both"/>
        <w:rPr>
          <w:snapToGrid w:val="0"/>
        </w:rPr>
      </w:pPr>
      <w:r>
        <w:t>Omega Capital</w:t>
      </w:r>
      <w:r w:rsidR="00C1390E" w:rsidRPr="00C1390E">
        <w:rPr>
          <w:snapToGrid w:val="0"/>
        </w:rPr>
        <w:t xml:space="preserve"> or</w:t>
      </w:r>
      <w:r w:rsidR="005007A7">
        <w:rPr>
          <w:snapToGrid w:val="0"/>
        </w:rPr>
        <w:t xml:space="preserve"> individuals associated with</w:t>
      </w:r>
      <w:r w:rsidR="00C1390E" w:rsidRPr="00C1390E">
        <w:rPr>
          <w:snapToGrid w:val="0"/>
        </w:rPr>
        <w:t xml:space="preserve"> </w:t>
      </w:r>
      <w:r>
        <w:t>Omega Capital</w:t>
      </w:r>
      <w:r w:rsidR="005C3916">
        <w:rPr>
          <w:snapToGrid w:val="0"/>
        </w:rPr>
        <w:t xml:space="preserve"> may buy or sell securities </w:t>
      </w:r>
      <w:r w:rsidR="00C1390E" w:rsidRPr="00C1390E">
        <w:rPr>
          <w:snapToGrid w:val="0"/>
        </w:rPr>
        <w:t xml:space="preserve">for their personal account(s) </w:t>
      </w:r>
      <w:r w:rsidR="005C3916">
        <w:rPr>
          <w:snapToGrid w:val="0"/>
        </w:rPr>
        <w:t xml:space="preserve">that are the same </w:t>
      </w:r>
      <w:r w:rsidR="00C1390E" w:rsidRPr="00C1390E">
        <w:rPr>
          <w:snapToGrid w:val="0"/>
        </w:rPr>
        <w:t xml:space="preserve">investment products recommended to clients.  It is the expressed policy of </w:t>
      </w:r>
      <w:r>
        <w:t>Omega Capital</w:t>
      </w:r>
      <w:r w:rsidR="00C1390E" w:rsidRPr="00C1390E">
        <w:rPr>
          <w:snapToGrid w:val="0"/>
        </w:rPr>
        <w:t xml:space="preserve"> that</w:t>
      </w:r>
      <w:r w:rsidR="00C1390E" w:rsidRPr="00C1390E">
        <w:t xml:space="preserve"> employees shall not have priority in any purchase or sale over clients’ accounts</w:t>
      </w:r>
      <w:r w:rsidR="00C1390E" w:rsidRPr="00C1390E">
        <w:rPr>
          <w:snapToGrid w:val="0"/>
        </w:rPr>
        <w:t xml:space="preserve">. </w:t>
      </w:r>
    </w:p>
    <w:p w14:paraId="24C34088" w14:textId="77777777" w:rsidR="00C1390E" w:rsidRPr="00C1390E" w:rsidRDefault="00C1390E" w:rsidP="00C1390E">
      <w:pPr>
        <w:pStyle w:val="Heading3"/>
        <w:spacing w:before="0" w:after="0"/>
        <w:jc w:val="both"/>
        <w:rPr>
          <w:rFonts w:ascii="Times New Roman" w:hAnsi="Times New Roman" w:cs="Times New Roman"/>
          <w:b w:val="0"/>
          <w:sz w:val="20"/>
          <w:szCs w:val="20"/>
          <w:u w:val="single"/>
          <w:vertAlign w:val="superscript"/>
        </w:rPr>
      </w:pPr>
    </w:p>
    <w:p w14:paraId="718F6849" w14:textId="77777777" w:rsidR="00C1390E" w:rsidRDefault="006C6D27" w:rsidP="00C1390E">
      <w:pPr>
        <w:jc w:val="both"/>
      </w:pPr>
      <w:r>
        <w:t>Omega Capital</w:t>
      </w:r>
      <w:r w:rsidR="00C1390E" w:rsidRPr="00C1390E">
        <w:t xml:space="preserve"> has adopted a Code of Ethics, the full text of which is available to clients and prospective clients upon request. The Firm has several goals in adopting this Code. First, </w:t>
      </w:r>
      <w:r>
        <w:t>Omega Capital</w:t>
      </w:r>
      <w:r w:rsidR="00C1390E" w:rsidRPr="00C1390E">
        <w:t xml:space="preserve"> desires to comply with all applicable laws and regulations governing its practice, and secondly, the management of </w:t>
      </w:r>
      <w:r>
        <w:t>Omega Capital</w:t>
      </w:r>
      <w:r w:rsidR="00C1390E" w:rsidRPr="00C1390E">
        <w:t xml:space="preserve"> has determined to set forth guidelines for professional standards, under which all associated persons of the </w:t>
      </w:r>
      <w:r>
        <w:t>Omega Capital</w:t>
      </w:r>
      <w:r w:rsidR="00C1390E" w:rsidRPr="00C1390E">
        <w:t xml:space="preserve"> are to conduct themselves. </w:t>
      </w:r>
      <w:r>
        <w:t>Omega Capital</w:t>
      </w:r>
      <w:r w:rsidR="00C1390E" w:rsidRPr="00C1390E">
        <w:t xml:space="preserve"> has set high standards, the intention of which is to protect client interests at all times and to demonstrate its commitment to its fiduciary duties of honesty, good faith and fair dealing with clients.  All associated persons are expected to adhere strictly to these guidelines, as well as the procedures for approval and reporting established in the Code of Ethics primarily related to personal securities transactions, and violations of the Code. In addition, the Firm maintains and enforces written policies reasonably designed to prevent the misuse of material non-public information by the Firm or any person associated with the Firm.</w:t>
      </w:r>
    </w:p>
    <w:p w14:paraId="21DB2C9A" w14:textId="704AC751" w:rsidR="00A31A12" w:rsidRDefault="00A31A12" w:rsidP="00C1390E">
      <w:pPr>
        <w:jc w:val="both"/>
      </w:pPr>
    </w:p>
    <w:p w14:paraId="7FCD512D" w14:textId="77777777" w:rsidR="00A31A12" w:rsidRDefault="00A31A12" w:rsidP="00C1390E">
      <w:pPr>
        <w:jc w:val="both"/>
      </w:pPr>
    </w:p>
    <w:p w14:paraId="20E42E14" w14:textId="77777777" w:rsidR="00E8428C" w:rsidRDefault="00E8428C" w:rsidP="00C1390E">
      <w:pPr>
        <w:jc w:val="both"/>
      </w:pPr>
    </w:p>
    <w:p w14:paraId="6CC87866" w14:textId="77777777" w:rsidR="00E8428C" w:rsidRDefault="00E8428C" w:rsidP="00E8428C">
      <w:pPr>
        <w:jc w:val="center"/>
        <w:rPr>
          <w:rFonts w:ascii="Arial" w:hAnsi="Arial" w:cs="Arial"/>
          <w:b/>
          <w:sz w:val="28"/>
          <w:szCs w:val="28"/>
          <w:u w:val="single"/>
        </w:rPr>
      </w:pPr>
      <w:r w:rsidRPr="00E8428C">
        <w:rPr>
          <w:rFonts w:ascii="Arial" w:hAnsi="Arial" w:cs="Arial"/>
          <w:b/>
          <w:sz w:val="28"/>
          <w:szCs w:val="28"/>
          <w:u w:val="single"/>
        </w:rPr>
        <w:t>Brokerage Practices</w:t>
      </w:r>
    </w:p>
    <w:p w14:paraId="61BFD7AA" w14:textId="77777777" w:rsidR="007D7D1C" w:rsidRDefault="007D7D1C" w:rsidP="007D7D1C">
      <w:pPr>
        <w:autoSpaceDE w:val="0"/>
        <w:autoSpaceDN w:val="0"/>
        <w:adjustRightInd w:val="0"/>
        <w:jc w:val="both"/>
        <w:rPr>
          <w:rFonts w:ascii="Arial" w:hAnsi="Arial" w:cs="Arial"/>
        </w:rPr>
      </w:pPr>
    </w:p>
    <w:p w14:paraId="17C18348" w14:textId="6B87055D" w:rsidR="007D7D1C" w:rsidRDefault="007D7D1C" w:rsidP="007D7D1C">
      <w:pPr>
        <w:autoSpaceDE w:val="0"/>
        <w:autoSpaceDN w:val="0"/>
        <w:adjustRightInd w:val="0"/>
        <w:jc w:val="both"/>
        <w:rPr>
          <w:b/>
          <w:sz w:val="24"/>
          <w:szCs w:val="24"/>
        </w:rPr>
      </w:pPr>
      <w:r w:rsidRPr="007D7D1C">
        <w:rPr>
          <w:b/>
          <w:sz w:val="24"/>
          <w:szCs w:val="24"/>
        </w:rPr>
        <w:t xml:space="preserve">Selecting a </w:t>
      </w:r>
      <w:r w:rsidR="00CC2F09">
        <w:rPr>
          <w:b/>
          <w:sz w:val="24"/>
          <w:szCs w:val="24"/>
        </w:rPr>
        <w:t>Brokerage Firm/</w:t>
      </w:r>
      <w:r w:rsidRPr="007D7D1C">
        <w:rPr>
          <w:b/>
          <w:sz w:val="24"/>
          <w:szCs w:val="24"/>
        </w:rPr>
        <w:t>Custodian</w:t>
      </w:r>
    </w:p>
    <w:p w14:paraId="0F07037C" w14:textId="77777777" w:rsidR="00CC2F09" w:rsidRPr="00FF60C6" w:rsidRDefault="00CC2F09" w:rsidP="00CC2F09">
      <w:pPr>
        <w:jc w:val="both"/>
      </w:pPr>
      <w:r w:rsidRPr="00FF60C6">
        <w:t xml:space="preserve">While our firm does not maintain physical custody of client assets, we are deemed to have custody of certain client assets if given the authority to withdraw assets from client accounts (see </w:t>
      </w:r>
      <w:r w:rsidRPr="00FF60C6">
        <w:rPr>
          <w:i/>
        </w:rPr>
        <w:t>Item 15 Custody</w:t>
      </w:r>
      <w:r w:rsidRPr="00FF60C6">
        <w:t>, below). Client assets must be maintained by a qualified custodian. Our firm seeks to recommend a custodian who will hold client assets and execute transactions on terms that are overall most advantageous when compared to other available providers and their services. The factors considered, among others, are these:</w:t>
      </w:r>
    </w:p>
    <w:p w14:paraId="1B1D56D5"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Timeliness of execution</w:t>
      </w:r>
    </w:p>
    <w:p w14:paraId="4F98F85A"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Timeliness and accuracy of trade confirmations</w:t>
      </w:r>
    </w:p>
    <w:p w14:paraId="3A7C7FC5"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Research services provided</w:t>
      </w:r>
    </w:p>
    <w:p w14:paraId="553E71B2"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Ability to provide investment ideas</w:t>
      </w:r>
    </w:p>
    <w:p w14:paraId="579C9E4B"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 xml:space="preserve">Execution facilitation services provided </w:t>
      </w:r>
    </w:p>
    <w:p w14:paraId="2E717AEA"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Record keeping services provided</w:t>
      </w:r>
    </w:p>
    <w:p w14:paraId="52852A6A"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Custody services provided</w:t>
      </w:r>
    </w:p>
    <w:p w14:paraId="59B90251"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Frequency and correction of trading errors</w:t>
      </w:r>
    </w:p>
    <w:p w14:paraId="299AC727"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Ability to access a variety of market venues</w:t>
      </w:r>
    </w:p>
    <w:p w14:paraId="31D6E1F6"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Expertise as it relates to specific securities</w:t>
      </w:r>
    </w:p>
    <w:p w14:paraId="1BA75616"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 xml:space="preserve">Financial condition </w:t>
      </w:r>
    </w:p>
    <w:p w14:paraId="7D9E5AE9"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Business reputation</w:t>
      </w:r>
    </w:p>
    <w:p w14:paraId="3F12A371" w14:textId="77777777" w:rsidR="00CC2F09" w:rsidRPr="00FF60C6" w:rsidRDefault="00CC2F09" w:rsidP="00CC2F09">
      <w:pPr>
        <w:pStyle w:val="NoSpacing"/>
        <w:numPr>
          <w:ilvl w:val="0"/>
          <w:numId w:val="17"/>
        </w:numPr>
        <w:tabs>
          <w:tab w:val="clear" w:pos="720"/>
        </w:tabs>
        <w:spacing w:before="0" w:beforeAutospacing="0" w:after="0" w:afterAutospacing="0"/>
        <w:rPr>
          <w:sz w:val="20"/>
          <w:szCs w:val="20"/>
        </w:rPr>
      </w:pPr>
      <w:r w:rsidRPr="00FF60C6">
        <w:rPr>
          <w:sz w:val="20"/>
          <w:szCs w:val="20"/>
        </w:rPr>
        <w:t>Quality of services</w:t>
      </w:r>
    </w:p>
    <w:p w14:paraId="4A8792DA" w14:textId="0B0C5D0A" w:rsidR="00CC2F09" w:rsidRPr="00FF60C6" w:rsidRDefault="00CC2F09" w:rsidP="007D7D1C">
      <w:pPr>
        <w:autoSpaceDE w:val="0"/>
        <w:autoSpaceDN w:val="0"/>
        <w:adjustRightInd w:val="0"/>
        <w:jc w:val="both"/>
        <w:rPr>
          <w:b/>
        </w:rPr>
      </w:pPr>
    </w:p>
    <w:p w14:paraId="3AD63398" w14:textId="77777777" w:rsidR="00CC2F09" w:rsidRPr="00FF60C6" w:rsidRDefault="00CC2F09" w:rsidP="00CC2F09">
      <w:pPr>
        <w:pStyle w:val="Default"/>
        <w:jc w:val="both"/>
        <w:rPr>
          <w:color w:val="auto"/>
          <w:sz w:val="20"/>
          <w:szCs w:val="20"/>
        </w:rPr>
      </w:pPr>
      <w:r w:rsidRPr="00FF60C6">
        <w:rPr>
          <w:spacing w:val="-3"/>
          <w:sz w:val="20"/>
          <w:szCs w:val="20"/>
        </w:rPr>
        <w:t xml:space="preserve">With this in consideration, </w:t>
      </w:r>
      <w:r w:rsidRPr="00FF60C6">
        <w:rPr>
          <w:sz w:val="20"/>
          <w:szCs w:val="20"/>
        </w:rPr>
        <w:t>our firm participates in the TD Ameritrade Institutional program. TD Ameritrade Institutional is a division of TD Ameritrade, Inc. (“TD Ameritrade”) member FINRA/SIPC. TD Ameritrade is an independent [and unaffiliated] SEC-registered broker-dealer. TD Ameritrade</w:t>
      </w:r>
      <w:r w:rsidRPr="00FF60C6">
        <w:rPr>
          <w:spacing w:val="-3"/>
          <w:sz w:val="20"/>
          <w:szCs w:val="20"/>
        </w:rPr>
        <w:t xml:space="preserve"> </w:t>
      </w:r>
      <w:r w:rsidRPr="00FF60C6">
        <w:rPr>
          <w:sz w:val="20"/>
          <w:szCs w:val="20"/>
        </w:rPr>
        <w:t xml:space="preserve">offers services to independent investment advisers which includes custody of securities, trade execution, clearance and settlement of transactions. </w:t>
      </w:r>
      <w:r w:rsidRPr="00FF60C6">
        <w:rPr>
          <w:spacing w:val="-3"/>
          <w:sz w:val="20"/>
          <w:szCs w:val="20"/>
        </w:rPr>
        <w:t xml:space="preserve">TD Ameritrade </w:t>
      </w:r>
      <w:r w:rsidRPr="00FF60C6">
        <w:rPr>
          <w:sz w:val="20"/>
          <w:szCs w:val="20"/>
        </w:rPr>
        <w:t xml:space="preserve">enables us to obtain many no-load mutual funds without transaction charges and other no-load funds at nominal transaction charges. </w:t>
      </w:r>
      <w:r w:rsidRPr="00FF60C6">
        <w:rPr>
          <w:spacing w:val="-3"/>
          <w:sz w:val="20"/>
          <w:szCs w:val="20"/>
        </w:rPr>
        <w:t xml:space="preserve">TD Ameritrade does not charge client accounts separately for custodial services. Client accounts will be charged transaction fees, commissions or other fees on trades that are executed or settle into the client’s custodial account. Transaction fees are negotiated with TD Ameritrade </w:t>
      </w:r>
      <w:r w:rsidRPr="00FF60C6">
        <w:rPr>
          <w:sz w:val="20"/>
          <w:szCs w:val="20"/>
        </w:rPr>
        <w:t xml:space="preserve">and are generally discounted from customary retail commission rates. </w:t>
      </w:r>
      <w:r w:rsidRPr="00FF60C6">
        <w:rPr>
          <w:spacing w:val="-3"/>
          <w:sz w:val="20"/>
          <w:szCs w:val="20"/>
        </w:rPr>
        <w:t>This benefits clients because the overall fee paid is often lower than would be otherwise.</w:t>
      </w:r>
      <w:r w:rsidRPr="00FF60C6">
        <w:rPr>
          <w:color w:val="auto"/>
          <w:sz w:val="20"/>
          <w:szCs w:val="20"/>
        </w:rPr>
        <w:t xml:space="preserve"> </w:t>
      </w:r>
    </w:p>
    <w:p w14:paraId="7459F9EF" w14:textId="073C7864" w:rsidR="00CC2F09" w:rsidRPr="00FF60C6" w:rsidRDefault="00CC2F09" w:rsidP="007D7D1C">
      <w:pPr>
        <w:autoSpaceDE w:val="0"/>
        <w:autoSpaceDN w:val="0"/>
        <w:adjustRightInd w:val="0"/>
        <w:jc w:val="both"/>
        <w:rPr>
          <w:b/>
        </w:rPr>
      </w:pPr>
    </w:p>
    <w:p w14:paraId="6988EF8D" w14:textId="7924CA5C" w:rsidR="00CC2F09" w:rsidRPr="00FF60C6" w:rsidRDefault="00CC2F09" w:rsidP="00CC2F09">
      <w:pPr>
        <w:jc w:val="both"/>
      </w:pPr>
      <w:r w:rsidRPr="00FF60C6">
        <w:rPr>
          <w:spacing w:val="-3"/>
        </w:rPr>
        <w:t xml:space="preserve">TD Ameritrade </w:t>
      </w:r>
      <w:r w:rsidRPr="00FF60C6">
        <w:t xml:space="preserve">may make certain research and brokerage services available at no additional cost to our firm. </w:t>
      </w:r>
      <w:r w:rsidRPr="00FF60C6">
        <w:rPr>
          <w:spacing w:val="-3"/>
        </w:rPr>
        <w:t>Research products and services provided by TD Ameritrade may include: research reports on recommendations or other information about particular companies or industries; economic surveys, data and analyses; financial publications; portfolio evaluation services; financial database software and services; computerized news and pricing services; quotation equipment for use in running software used in investment decision-making; and other products or services that provide lawful and appropriate assistance by TD Ameritrade to our firm in the performance of our investment decision-making responsibilities. The aforementioned research and brokerage services qualify</w:t>
      </w:r>
      <w:r w:rsidRPr="00FF60C6">
        <w:t xml:space="preserve"> for the safe harbor exemption defined in Section 28(e) of the Securities Exchange Act of 1934.</w:t>
      </w:r>
    </w:p>
    <w:p w14:paraId="455AE690" w14:textId="77777777" w:rsidR="00CC2F09" w:rsidRPr="00FF60C6" w:rsidRDefault="00CC2F09" w:rsidP="00CC2F09">
      <w:pPr>
        <w:pStyle w:val="Default"/>
        <w:jc w:val="both"/>
        <w:rPr>
          <w:color w:val="auto"/>
          <w:spacing w:val="-3"/>
          <w:sz w:val="20"/>
          <w:szCs w:val="20"/>
        </w:rPr>
      </w:pPr>
    </w:p>
    <w:p w14:paraId="4B4C0332" w14:textId="6C77F6E6" w:rsidR="00CC2F09" w:rsidRPr="00FF60C6" w:rsidRDefault="00CC2F09" w:rsidP="00CC2F09">
      <w:pPr>
        <w:pStyle w:val="Default"/>
        <w:jc w:val="both"/>
        <w:rPr>
          <w:color w:val="auto"/>
          <w:sz w:val="20"/>
          <w:szCs w:val="20"/>
        </w:rPr>
      </w:pPr>
      <w:r w:rsidRPr="00FF60C6">
        <w:rPr>
          <w:sz w:val="20"/>
          <w:szCs w:val="20"/>
        </w:rPr>
        <w:t xml:space="preserve">TD Ameritrade does not make client brokerage commissions generated by client transactions available for our firm’s use. </w:t>
      </w:r>
      <w:r w:rsidRPr="00FF60C6">
        <w:rPr>
          <w:color w:val="auto"/>
          <w:sz w:val="20"/>
          <w:szCs w:val="20"/>
        </w:rPr>
        <w:t>The aforementioned research and brokerage services are used by our firm to manage accounts for which our firm has investment discretion. Without this arrangement, our firm might be compelled to purchase the same or similar services at our own expense.</w:t>
      </w:r>
    </w:p>
    <w:p w14:paraId="3E2369AF" w14:textId="77777777" w:rsidR="00CC2F09" w:rsidRPr="00FF60C6" w:rsidRDefault="00CC2F09" w:rsidP="00CC2F09">
      <w:pPr>
        <w:pStyle w:val="Default"/>
        <w:jc w:val="both"/>
        <w:rPr>
          <w:color w:val="auto"/>
          <w:sz w:val="20"/>
          <w:szCs w:val="20"/>
        </w:rPr>
      </w:pPr>
    </w:p>
    <w:p w14:paraId="6F9A3437" w14:textId="31D703A9" w:rsidR="00CC2F09" w:rsidRPr="00FF60C6" w:rsidRDefault="00CC2F09" w:rsidP="00CC2F09">
      <w:pPr>
        <w:jc w:val="both"/>
      </w:pPr>
      <w:r w:rsidRPr="00FF60C6">
        <w:t xml:space="preserve">As part of our fiduciary duty to our clients, our firm will endeavor at all times to put the interests of our clients first. Clients should be aware, however, that the receipt of economic benefits by our firm or our related persons creates a potential conflict of interest and may indirectly influence our firm’s choice of TD Ameritrade as a custodial recommendation. </w:t>
      </w:r>
      <w:r w:rsidRPr="00FF60C6">
        <w:rPr>
          <w:spacing w:val="-3"/>
        </w:rPr>
        <w:t xml:space="preserve">Our firm examined this potential conflict of interest when our firm chose to recommend TD Ameritrade and have determined that the recommendation is in the best interest of our firm’s clients and satisfies our fiduciary obligations, including our duty to seek best execution. </w:t>
      </w:r>
    </w:p>
    <w:p w14:paraId="09D2136D" w14:textId="77777777" w:rsidR="00CC2F09" w:rsidRPr="00FF60C6" w:rsidRDefault="00CC2F09" w:rsidP="00CC2F09">
      <w:pPr>
        <w:pStyle w:val="Default"/>
        <w:jc w:val="both"/>
        <w:rPr>
          <w:color w:val="auto"/>
          <w:sz w:val="20"/>
          <w:szCs w:val="20"/>
        </w:rPr>
      </w:pPr>
    </w:p>
    <w:p w14:paraId="5B3FF05F" w14:textId="3C96BB65" w:rsidR="00CC2F09" w:rsidRPr="00FF60C6" w:rsidRDefault="00CC2F09" w:rsidP="00CC2F09">
      <w:pPr>
        <w:pStyle w:val="Default"/>
        <w:jc w:val="both"/>
        <w:rPr>
          <w:color w:val="auto"/>
          <w:sz w:val="20"/>
          <w:szCs w:val="20"/>
        </w:rPr>
      </w:pPr>
      <w:r w:rsidRPr="00FF60C6">
        <w:rPr>
          <w:color w:val="auto"/>
          <w:sz w:val="20"/>
          <w:szCs w:val="20"/>
        </w:rPr>
        <w:t xml:space="preserve">Our non-wrap fee clients may pay a transaction fee or commission to </w:t>
      </w:r>
      <w:r w:rsidRPr="00FF60C6">
        <w:rPr>
          <w:spacing w:val="-3"/>
          <w:sz w:val="20"/>
          <w:szCs w:val="20"/>
        </w:rPr>
        <w:t xml:space="preserve">TD Ameritrade </w:t>
      </w:r>
      <w:r w:rsidRPr="00FF60C6">
        <w:rPr>
          <w:color w:val="auto"/>
          <w:sz w:val="20"/>
          <w:szCs w:val="20"/>
        </w:rPr>
        <w:t>that is higher than another qualified broker dealer might charge to effect the same transaction where our firm determines in good faith that the commission is reasonable in relation to the value of the brokerage and research services provided to the client as a whole.</w:t>
      </w:r>
    </w:p>
    <w:p w14:paraId="3EF55A0F" w14:textId="77777777" w:rsidR="00CC2F09" w:rsidRPr="00FF60C6" w:rsidRDefault="00CC2F09" w:rsidP="00CC2F09">
      <w:pPr>
        <w:pStyle w:val="Default"/>
        <w:jc w:val="both"/>
        <w:rPr>
          <w:color w:val="auto"/>
          <w:spacing w:val="-3"/>
          <w:sz w:val="20"/>
          <w:szCs w:val="20"/>
        </w:rPr>
      </w:pPr>
    </w:p>
    <w:p w14:paraId="658CBA5A" w14:textId="77777777" w:rsidR="00CC2F09" w:rsidRPr="00FF60C6" w:rsidRDefault="00CC2F09" w:rsidP="00CC2F09">
      <w:pPr>
        <w:pStyle w:val="Default"/>
        <w:jc w:val="both"/>
        <w:rPr>
          <w:color w:val="auto"/>
          <w:sz w:val="20"/>
          <w:szCs w:val="20"/>
        </w:rPr>
      </w:pPr>
      <w:r w:rsidRPr="00FF60C6">
        <w:rPr>
          <w:color w:val="auto"/>
          <w:sz w:val="20"/>
          <w:szCs w:val="20"/>
        </w:rPr>
        <w:t xml:space="preserve">In seeking best execution, the determinative factor is not the lowest possible cost, but whether the transaction represents the best qualitative execution, taking into consideration the full range of a broker-dealer’s services, including the value of research provided, execution capability, commission rates, and responsiveness. Although our firm will seek competitive rates, to the benefit of all clients, our firm may not necessarily obtain the lowest possible commission rates for specific client account transactions. </w:t>
      </w:r>
    </w:p>
    <w:p w14:paraId="3EBBA018" w14:textId="77777777" w:rsidR="00C15AFA" w:rsidRDefault="00C15AFA" w:rsidP="007D7D1C">
      <w:pPr>
        <w:jc w:val="both"/>
        <w:rPr>
          <w:b/>
          <w:sz w:val="24"/>
          <w:szCs w:val="24"/>
        </w:rPr>
      </w:pPr>
    </w:p>
    <w:p w14:paraId="3EF99CF9" w14:textId="77777777" w:rsidR="007D7D1C" w:rsidRDefault="007D7D1C" w:rsidP="007D7D1C">
      <w:pPr>
        <w:jc w:val="both"/>
        <w:rPr>
          <w:b/>
          <w:sz w:val="24"/>
          <w:szCs w:val="24"/>
        </w:rPr>
      </w:pPr>
      <w:r w:rsidRPr="007D7D1C">
        <w:rPr>
          <w:b/>
          <w:sz w:val="24"/>
          <w:szCs w:val="24"/>
        </w:rPr>
        <w:t>Soft Dollars</w:t>
      </w:r>
    </w:p>
    <w:p w14:paraId="297FD1F2" w14:textId="0436BBD6" w:rsidR="007C0647" w:rsidRDefault="007C0647" w:rsidP="007D7D1C">
      <w:pPr>
        <w:jc w:val="both"/>
      </w:pPr>
      <w:r w:rsidRPr="00B97EF0">
        <w:rPr>
          <w:color w:val="000000"/>
        </w:rPr>
        <w:t xml:space="preserve">Our firm does not receive soft dollars in excess of what is allowed by Section 28(e) of the Securities Exchange Act of 1934. The safe harbor research products and services obtained by our firm will generally be used to service all of our clients but not necessarily all at any one particular time. </w:t>
      </w:r>
    </w:p>
    <w:p w14:paraId="0CE8B0F5" w14:textId="77777777" w:rsidR="007D7D1C" w:rsidRDefault="007D7D1C" w:rsidP="007D7D1C">
      <w:pPr>
        <w:jc w:val="both"/>
      </w:pPr>
    </w:p>
    <w:p w14:paraId="55D95C94" w14:textId="77777777" w:rsidR="007D7D1C" w:rsidRDefault="007D7D1C" w:rsidP="007D7D1C">
      <w:pPr>
        <w:jc w:val="both"/>
        <w:rPr>
          <w:b/>
          <w:sz w:val="24"/>
          <w:szCs w:val="24"/>
        </w:rPr>
      </w:pPr>
      <w:r>
        <w:rPr>
          <w:b/>
          <w:sz w:val="24"/>
          <w:szCs w:val="24"/>
        </w:rPr>
        <w:t>Other Benefits R</w:t>
      </w:r>
      <w:r w:rsidRPr="007D7D1C">
        <w:rPr>
          <w:b/>
          <w:sz w:val="24"/>
          <w:szCs w:val="24"/>
        </w:rPr>
        <w:t>eceived</w:t>
      </w:r>
    </w:p>
    <w:p w14:paraId="0EC16EBD" w14:textId="570B37B4" w:rsidR="00C401E2" w:rsidRDefault="007D7D1C" w:rsidP="007D7D1C">
      <w:pPr>
        <w:jc w:val="both"/>
        <w:rPr>
          <w:b/>
          <w:sz w:val="24"/>
          <w:szCs w:val="24"/>
        </w:rPr>
      </w:pPr>
      <w:r w:rsidRPr="00156B31">
        <w:t xml:space="preserve">As an advisory firm that uses </w:t>
      </w:r>
      <w:r w:rsidR="006C6BE9" w:rsidRPr="007D7D1C">
        <w:t xml:space="preserve">TD AMERITRADE </w:t>
      </w:r>
      <w:r w:rsidRPr="00156B31">
        <w:t xml:space="preserve">as our Broker and Custodian, we are able to participate in </w:t>
      </w:r>
      <w:r w:rsidR="006C6BE9" w:rsidRPr="007D7D1C">
        <w:t>TD AMERITRADE</w:t>
      </w:r>
      <w:r w:rsidR="00092FA8">
        <w:t>’s</w:t>
      </w:r>
      <w:r w:rsidRPr="00156B31">
        <w:t xml:space="preserve"> Affinity Services program. </w:t>
      </w:r>
      <w:r w:rsidR="00092FA8">
        <w:t>The Affinity Services is a</w:t>
      </w:r>
      <w:r w:rsidRPr="00156B31">
        <w:t xml:space="preserve"> program where </w:t>
      </w:r>
      <w:r w:rsidR="006C6BE9" w:rsidRPr="007D7D1C">
        <w:t xml:space="preserve">TD AMERITRADE </w:t>
      </w:r>
      <w:r w:rsidRPr="00156B31">
        <w:t>has signed on outside vendors who are willing to offer th</w:t>
      </w:r>
      <w:r w:rsidR="00821E43">
        <w:t>ei</w:t>
      </w:r>
      <w:r w:rsidR="00156B31">
        <w:t>r</w:t>
      </w:r>
      <w:r w:rsidRPr="00156B31">
        <w:t xml:space="preserve"> service</w:t>
      </w:r>
      <w:r w:rsidR="00156B31">
        <w:t>s</w:t>
      </w:r>
      <w:r w:rsidR="00156B31" w:rsidRPr="00156B31">
        <w:t>, software and or products at a discounted price.</w:t>
      </w:r>
      <w:r w:rsidR="00156B31">
        <w:t xml:space="preserve">  </w:t>
      </w:r>
    </w:p>
    <w:p w14:paraId="2DC1FB63" w14:textId="77777777" w:rsidR="00117909" w:rsidRDefault="00117909" w:rsidP="007D7D1C">
      <w:pPr>
        <w:jc w:val="both"/>
        <w:rPr>
          <w:b/>
          <w:sz w:val="24"/>
          <w:szCs w:val="24"/>
        </w:rPr>
      </w:pPr>
    </w:p>
    <w:p w14:paraId="78A63872" w14:textId="77777777" w:rsidR="00156B31" w:rsidRDefault="00156B31" w:rsidP="007D7D1C">
      <w:pPr>
        <w:jc w:val="both"/>
        <w:rPr>
          <w:b/>
          <w:sz w:val="24"/>
          <w:szCs w:val="24"/>
        </w:rPr>
      </w:pPr>
      <w:r w:rsidRPr="00156B31">
        <w:rPr>
          <w:b/>
          <w:sz w:val="24"/>
          <w:szCs w:val="24"/>
        </w:rPr>
        <w:t>Brokerage Tran</w:t>
      </w:r>
      <w:r>
        <w:rPr>
          <w:b/>
          <w:sz w:val="24"/>
          <w:szCs w:val="24"/>
        </w:rPr>
        <w:t>s</w:t>
      </w:r>
      <w:r w:rsidRPr="00156B31">
        <w:rPr>
          <w:b/>
          <w:sz w:val="24"/>
          <w:szCs w:val="24"/>
        </w:rPr>
        <w:t>actions</w:t>
      </w:r>
    </w:p>
    <w:p w14:paraId="1BD05E42" w14:textId="5AB805CD" w:rsidR="00156B31" w:rsidRDefault="00156B31" w:rsidP="007D7D1C">
      <w:pPr>
        <w:jc w:val="both"/>
      </w:pPr>
      <w:r>
        <w:t xml:space="preserve">All client brokerage transactions are done at </w:t>
      </w:r>
      <w:r w:rsidR="006C6BE9" w:rsidRPr="007D7D1C">
        <w:t xml:space="preserve">TD AMERITRADE </w:t>
      </w:r>
      <w:r>
        <w:t>Institutional Services. This applies to purchases and sales of; mutual funds, exchange traded funds, closed-end funds, equities, bonds, certificates of deposits, preferred stocks, money market funds and other registered securities.</w:t>
      </w:r>
      <w:r w:rsidR="009471A7">
        <w:t xml:space="preserve"> On occasion if Omega Capital is buying or selling an equity security for many clients, the firm may </w:t>
      </w:r>
      <w:r w:rsidR="00CC2F09">
        <w:t>choose</w:t>
      </w:r>
      <w:r w:rsidR="009471A7">
        <w:t xml:space="preserve"> to aggregate all of the o</w:t>
      </w:r>
      <w:r w:rsidR="00117909">
        <w:t>rders into one buy or sell order</w:t>
      </w:r>
      <w:r w:rsidR="009471A7">
        <w:t xml:space="preserve"> and then allocate the proportionate buy or sell transaction to each respective account.</w:t>
      </w:r>
    </w:p>
    <w:p w14:paraId="308D69E7" w14:textId="77777777" w:rsidR="003E08EF" w:rsidRDefault="003E08EF" w:rsidP="00FF60C6">
      <w:pPr>
        <w:rPr>
          <w:rFonts w:ascii="Arial" w:hAnsi="Arial" w:cs="Arial"/>
          <w:b/>
          <w:sz w:val="28"/>
          <w:szCs w:val="28"/>
          <w:u w:val="single"/>
        </w:rPr>
      </w:pPr>
    </w:p>
    <w:p w14:paraId="3C248874" w14:textId="77777777" w:rsidR="00306DA8" w:rsidRPr="00A261B5" w:rsidRDefault="00306DA8" w:rsidP="00306DA8">
      <w:pPr>
        <w:jc w:val="center"/>
        <w:rPr>
          <w:rFonts w:ascii="Arial" w:hAnsi="Arial" w:cs="Arial"/>
          <w:b/>
          <w:sz w:val="28"/>
          <w:szCs w:val="28"/>
          <w:u w:val="single"/>
        </w:rPr>
      </w:pPr>
      <w:r w:rsidRPr="00A261B5">
        <w:rPr>
          <w:rFonts w:ascii="Arial" w:hAnsi="Arial" w:cs="Arial"/>
          <w:b/>
          <w:sz w:val="28"/>
          <w:szCs w:val="28"/>
          <w:u w:val="single"/>
        </w:rPr>
        <w:t>Review of Accounts</w:t>
      </w:r>
    </w:p>
    <w:p w14:paraId="60939332" w14:textId="77777777" w:rsidR="00306DA8" w:rsidRPr="00A261B5" w:rsidRDefault="00306DA8" w:rsidP="007D7D1C">
      <w:pPr>
        <w:jc w:val="both"/>
        <w:rPr>
          <w:b/>
          <w:u w:val="single"/>
        </w:rPr>
      </w:pPr>
    </w:p>
    <w:p w14:paraId="1882C2D4" w14:textId="77777777" w:rsidR="00021A36" w:rsidRPr="00A261B5" w:rsidRDefault="00A261B5" w:rsidP="007D7D1C">
      <w:pPr>
        <w:jc w:val="both"/>
        <w:rPr>
          <w:b/>
          <w:sz w:val="24"/>
          <w:szCs w:val="24"/>
        </w:rPr>
      </w:pPr>
      <w:r w:rsidRPr="00A261B5">
        <w:rPr>
          <w:b/>
          <w:sz w:val="24"/>
          <w:szCs w:val="24"/>
        </w:rPr>
        <w:t>Review of Accounts</w:t>
      </w:r>
    </w:p>
    <w:p w14:paraId="6B78F470" w14:textId="77777777" w:rsidR="00021A36" w:rsidRDefault="00021A36" w:rsidP="00021A36">
      <w:pPr>
        <w:pStyle w:val="Header"/>
        <w:jc w:val="both"/>
      </w:pPr>
      <w:r w:rsidRPr="00021A36">
        <w:t xml:space="preserve">Financial plans will </w:t>
      </w:r>
      <w:r w:rsidR="00092FA8">
        <w:t>be reviewed and updated at the c</w:t>
      </w:r>
      <w:r w:rsidRPr="00021A36">
        <w:t xml:space="preserve">lient’s request or as required based on the executed agreement for services.  Reviews may be subject to </w:t>
      </w:r>
      <w:r w:rsidR="006C6D27">
        <w:t>Omega Capital</w:t>
      </w:r>
      <w:r w:rsidRPr="00021A36">
        <w:t>’s then current hourly rate.  Steven M. Bedell, CFP</w:t>
      </w:r>
      <w:r w:rsidR="00E43618">
        <w:t>®</w:t>
      </w:r>
      <w:r w:rsidR="00521EC3">
        <w:t xml:space="preserve">, </w:t>
      </w:r>
      <w:r w:rsidR="002510E7">
        <w:t xml:space="preserve">AIF®, </w:t>
      </w:r>
      <w:r w:rsidR="00521EC3">
        <w:t>CFS®</w:t>
      </w:r>
      <w:r w:rsidRPr="00021A36">
        <w:t xml:space="preserve"> will conduct all reviews. </w:t>
      </w:r>
    </w:p>
    <w:p w14:paraId="1A465A16" w14:textId="77777777" w:rsidR="00021A36" w:rsidRPr="00021A36" w:rsidRDefault="00021A36" w:rsidP="00021A36">
      <w:pPr>
        <w:pStyle w:val="Header"/>
        <w:tabs>
          <w:tab w:val="clear" w:pos="4320"/>
          <w:tab w:val="clear" w:pos="8640"/>
        </w:tabs>
        <w:jc w:val="both"/>
      </w:pPr>
    </w:p>
    <w:p w14:paraId="17FAB8F7" w14:textId="77777777" w:rsidR="00021A36" w:rsidRPr="00021A36" w:rsidRDefault="00092FA8" w:rsidP="00021A36">
      <w:pPr>
        <w:pStyle w:val="Header"/>
        <w:tabs>
          <w:tab w:val="clear" w:pos="4320"/>
          <w:tab w:val="clear" w:pos="8640"/>
          <w:tab w:val="left" w:pos="3204"/>
        </w:tabs>
        <w:jc w:val="both"/>
      </w:pPr>
      <w:r>
        <w:t>For c</w:t>
      </w:r>
      <w:r w:rsidR="00021A36" w:rsidRPr="00021A36">
        <w:t xml:space="preserve">lients utilizing the </w:t>
      </w:r>
      <w:r w:rsidR="00E43618">
        <w:t>investment advisory services</w:t>
      </w:r>
      <w:r w:rsidR="00021A36" w:rsidRPr="00021A36">
        <w:t xml:space="preserve">, </w:t>
      </w:r>
      <w:r w:rsidR="006C6D27">
        <w:t>Omega Capital</w:t>
      </w:r>
      <w:r w:rsidR="00021A36" w:rsidRPr="00021A36">
        <w:t xml:space="preserve"> will monitor accounts on a </w:t>
      </w:r>
      <w:r w:rsidR="00021A36" w:rsidRPr="00021A36">
        <w:rPr>
          <w:bCs/>
        </w:rPr>
        <w:t xml:space="preserve">continuous </w:t>
      </w:r>
      <w:r w:rsidR="00021A36" w:rsidRPr="00021A36">
        <w:t xml:space="preserve">basis </w:t>
      </w:r>
      <w:r w:rsidR="00021A36" w:rsidRPr="00021A36">
        <w:rPr>
          <w:noProof/>
        </w:rPr>
        <w:t>to ensure the adv</w:t>
      </w:r>
      <w:r>
        <w:rPr>
          <w:noProof/>
        </w:rPr>
        <w:t>isory services provided to the client are consistent with the c</w:t>
      </w:r>
      <w:r w:rsidR="00021A36" w:rsidRPr="00021A36">
        <w:rPr>
          <w:noProof/>
        </w:rPr>
        <w:t>lient's investment needs and objectives.</w:t>
      </w:r>
      <w:r w:rsidR="00021A36" w:rsidRPr="00021A36">
        <w:t xml:space="preserve">  </w:t>
      </w:r>
      <w:r w:rsidR="006C6D27">
        <w:t>Omega Capital</w:t>
      </w:r>
      <w:r w:rsidR="00021A36" w:rsidRPr="00021A36">
        <w:t xml:space="preserve"> recommends a </w:t>
      </w:r>
      <w:r>
        <w:t>c</w:t>
      </w:r>
      <w:r w:rsidR="00021A36" w:rsidRPr="00021A36">
        <w:t>lient meeting and formal account review at least annually, whereby portfolio allocations are reviewed and updated if necessary. Additional reviews and/or meet</w:t>
      </w:r>
      <w:r>
        <w:t>ings may be conducted upon the c</w:t>
      </w:r>
      <w:r w:rsidR="00021A36" w:rsidRPr="00021A36">
        <w:t xml:space="preserve">lient’s or </w:t>
      </w:r>
      <w:r w:rsidR="006C6D27">
        <w:t>Omega Capital</w:t>
      </w:r>
      <w:r>
        <w:t>’s</w:t>
      </w:r>
      <w:r w:rsidR="00021A36" w:rsidRPr="00021A36">
        <w:t xml:space="preserve"> request. Triggering factors that may </w:t>
      </w:r>
      <w:r w:rsidR="0088409F">
        <w:t>call for</w:t>
      </w:r>
      <w:r>
        <w:t xml:space="preserve"> additional reviews of a c</w:t>
      </w:r>
      <w:r w:rsidR="00021A36" w:rsidRPr="00021A36">
        <w:t xml:space="preserve">lient’s account include, but are not limited to, changes in market conditions, changes in the </w:t>
      </w:r>
      <w:r>
        <w:t>c</w:t>
      </w:r>
      <w:r w:rsidR="00021A36" w:rsidRPr="00021A36">
        <w:t xml:space="preserve">lient’s financial situation or investment objectives, and/or the </w:t>
      </w:r>
      <w:r>
        <w:t>c</w:t>
      </w:r>
      <w:r w:rsidR="00021A36" w:rsidRPr="00021A36">
        <w:t xml:space="preserve">lient’s request for an additional review of the account.  </w:t>
      </w:r>
    </w:p>
    <w:p w14:paraId="5F6F2C21" w14:textId="77777777" w:rsidR="002727A2" w:rsidRDefault="002727A2" w:rsidP="00021A36">
      <w:pPr>
        <w:autoSpaceDE w:val="0"/>
        <w:autoSpaceDN w:val="0"/>
        <w:adjustRightInd w:val="0"/>
        <w:jc w:val="both"/>
        <w:rPr>
          <w:bCs/>
        </w:rPr>
      </w:pPr>
    </w:p>
    <w:p w14:paraId="12B8D929" w14:textId="77777777" w:rsidR="00E43618" w:rsidRPr="00E43618" w:rsidRDefault="00E43618" w:rsidP="00021A36">
      <w:pPr>
        <w:autoSpaceDE w:val="0"/>
        <w:autoSpaceDN w:val="0"/>
        <w:adjustRightInd w:val="0"/>
        <w:jc w:val="both"/>
        <w:rPr>
          <w:b/>
          <w:bCs/>
          <w:sz w:val="24"/>
          <w:szCs w:val="24"/>
        </w:rPr>
      </w:pPr>
      <w:r w:rsidRPr="00E43618">
        <w:rPr>
          <w:b/>
          <w:bCs/>
          <w:sz w:val="24"/>
          <w:szCs w:val="24"/>
        </w:rPr>
        <w:t>Reports</w:t>
      </w:r>
    </w:p>
    <w:p w14:paraId="586FC738" w14:textId="77777777" w:rsidR="00021A36" w:rsidRPr="00021A36" w:rsidRDefault="006C6D27" w:rsidP="00021A36">
      <w:pPr>
        <w:autoSpaceDE w:val="0"/>
        <w:autoSpaceDN w:val="0"/>
        <w:adjustRightInd w:val="0"/>
        <w:jc w:val="both"/>
        <w:rPr>
          <w:b/>
          <w:bCs/>
        </w:rPr>
      </w:pPr>
      <w:r>
        <w:t>Omega Capital</w:t>
      </w:r>
      <w:r w:rsidR="00021A36" w:rsidRPr="00021A36">
        <w:rPr>
          <w:bCs/>
        </w:rPr>
        <w:t xml:space="preserve"> also employs the use of a very sophisticated portfolio management software program which allows the firm to link directly to the custodian and download all client transactions on a daily basis. This program can produce a myriad of reports including, portfolio statements, performance reports, realized/unrealized gains &amp; losses reports</w:t>
      </w:r>
      <w:r w:rsidR="00B50637">
        <w:rPr>
          <w:bCs/>
        </w:rPr>
        <w:t>,</w:t>
      </w:r>
      <w:r w:rsidR="00021A36" w:rsidRPr="00021A36">
        <w:rPr>
          <w:bCs/>
        </w:rPr>
        <w:t xml:space="preserve"> income summary reports</w:t>
      </w:r>
      <w:r w:rsidR="00B50637">
        <w:rPr>
          <w:bCs/>
        </w:rPr>
        <w:t>, portfolio rebalancing reports and a myriad of other account related reports</w:t>
      </w:r>
      <w:r w:rsidR="00021A36" w:rsidRPr="00021A36">
        <w:rPr>
          <w:bCs/>
        </w:rPr>
        <w:t>.</w:t>
      </w:r>
      <w:r w:rsidR="00E43618">
        <w:rPr>
          <w:bCs/>
        </w:rPr>
        <w:t xml:space="preserve">  </w:t>
      </w:r>
      <w:r w:rsidR="002C25A6">
        <w:rPr>
          <w:bCs/>
        </w:rPr>
        <w:t>C</w:t>
      </w:r>
      <w:r w:rsidR="00E43618">
        <w:rPr>
          <w:bCs/>
        </w:rPr>
        <w:t>lients</w:t>
      </w:r>
      <w:r w:rsidR="002C25A6">
        <w:rPr>
          <w:bCs/>
        </w:rPr>
        <w:t>’</w:t>
      </w:r>
      <w:r w:rsidR="00E43618">
        <w:rPr>
          <w:bCs/>
        </w:rPr>
        <w:t xml:space="preserve"> receive monthly reports directly each month from </w:t>
      </w:r>
      <w:r w:rsidR="006C6BE9" w:rsidRPr="007D7D1C">
        <w:t>TD AMERITRADE</w:t>
      </w:r>
      <w:r w:rsidR="00E43618">
        <w:rPr>
          <w:bCs/>
        </w:rPr>
        <w:t xml:space="preserve"> Institutional.  In addition, clients may view their account(s) online through </w:t>
      </w:r>
      <w:r w:rsidR="006C6BE9" w:rsidRPr="007D7D1C">
        <w:t>TD AMER</w:t>
      </w:r>
      <w:r w:rsidR="006C6BE9">
        <w:t xml:space="preserve">ITRADE’s </w:t>
      </w:r>
      <w:r w:rsidR="00E43618">
        <w:rPr>
          <w:bCs/>
        </w:rPr>
        <w:t>website.  Omega Capital also mails the following</w:t>
      </w:r>
      <w:r w:rsidR="0088409F">
        <w:rPr>
          <w:bCs/>
        </w:rPr>
        <w:t xml:space="preserve"> reports</w:t>
      </w:r>
      <w:r w:rsidR="00E43618">
        <w:rPr>
          <w:bCs/>
        </w:rPr>
        <w:t xml:space="preserve"> at the end of each calendar quarter; </w:t>
      </w:r>
      <w:r w:rsidR="00CC39AF">
        <w:rPr>
          <w:bCs/>
        </w:rPr>
        <w:t xml:space="preserve">A typewritten </w:t>
      </w:r>
      <w:r w:rsidR="00E43618">
        <w:rPr>
          <w:bCs/>
        </w:rPr>
        <w:t xml:space="preserve">cover letter including </w:t>
      </w:r>
      <w:r w:rsidR="00CC39AF">
        <w:rPr>
          <w:bCs/>
        </w:rPr>
        <w:t xml:space="preserve">market </w:t>
      </w:r>
      <w:r w:rsidR="00E43618">
        <w:rPr>
          <w:bCs/>
        </w:rPr>
        <w:t>commentary</w:t>
      </w:r>
      <w:r w:rsidR="00CC39AF">
        <w:rPr>
          <w:bCs/>
        </w:rPr>
        <w:t>, a brief summary of current economic events</w:t>
      </w:r>
      <w:r w:rsidR="0088409F">
        <w:rPr>
          <w:bCs/>
        </w:rPr>
        <w:t xml:space="preserve">, </w:t>
      </w:r>
      <w:r w:rsidR="00CC39AF">
        <w:rPr>
          <w:bCs/>
        </w:rPr>
        <w:t>asset class performance</w:t>
      </w:r>
      <w:r w:rsidR="00E43618">
        <w:rPr>
          <w:bCs/>
        </w:rPr>
        <w:t>, portfolio statement, performance report, and a billing statement.</w:t>
      </w:r>
      <w:r w:rsidR="00CC39AF">
        <w:rPr>
          <w:bCs/>
        </w:rPr>
        <w:t xml:space="preserve">  </w:t>
      </w:r>
    </w:p>
    <w:p w14:paraId="0A4883BF" w14:textId="2DD29F35" w:rsidR="00443A93" w:rsidRDefault="00443A93" w:rsidP="00306DA8">
      <w:pPr>
        <w:jc w:val="center"/>
        <w:rPr>
          <w:b/>
          <w:u w:val="single"/>
        </w:rPr>
      </w:pPr>
    </w:p>
    <w:p w14:paraId="04327260" w14:textId="77777777" w:rsidR="00CC2F09" w:rsidRPr="00D3721A" w:rsidRDefault="00CC2F09" w:rsidP="00306DA8">
      <w:pPr>
        <w:jc w:val="center"/>
        <w:rPr>
          <w:b/>
          <w:u w:val="single"/>
        </w:rPr>
      </w:pPr>
    </w:p>
    <w:p w14:paraId="1AF2EC6A" w14:textId="77777777" w:rsidR="00306DA8" w:rsidRPr="00443A93" w:rsidRDefault="00306DA8" w:rsidP="00306DA8">
      <w:pPr>
        <w:jc w:val="center"/>
        <w:rPr>
          <w:rFonts w:ascii="Arial" w:hAnsi="Arial" w:cs="Arial"/>
          <w:b/>
          <w:sz w:val="28"/>
          <w:szCs w:val="28"/>
          <w:u w:val="single"/>
        </w:rPr>
      </w:pPr>
      <w:r w:rsidRPr="00443A93">
        <w:rPr>
          <w:rFonts w:ascii="Arial" w:hAnsi="Arial" w:cs="Arial"/>
          <w:b/>
          <w:sz w:val="28"/>
          <w:szCs w:val="28"/>
          <w:u w:val="single"/>
        </w:rPr>
        <w:t>Client Referrals and Other Compensat</w:t>
      </w:r>
      <w:r w:rsidR="00B705E3">
        <w:rPr>
          <w:rFonts w:ascii="Arial" w:hAnsi="Arial" w:cs="Arial"/>
          <w:b/>
          <w:sz w:val="28"/>
          <w:szCs w:val="28"/>
          <w:u w:val="single"/>
        </w:rPr>
        <w:t>i</w:t>
      </w:r>
      <w:r w:rsidRPr="00443A93">
        <w:rPr>
          <w:rFonts w:ascii="Arial" w:hAnsi="Arial" w:cs="Arial"/>
          <w:b/>
          <w:sz w:val="28"/>
          <w:szCs w:val="28"/>
          <w:u w:val="single"/>
        </w:rPr>
        <w:t>on</w:t>
      </w:r>
    </w:p>
    <w:p w14:paraId="7464508F" w14:textId="77777777" w:rsidR="00306DA8" w:rsidRDefault="00306DA8" w:rsidP="007D7D1C">
      <w:pPr>
        <w:jc w:val="both"/>
        <w:rPr>
          <w:b/>
          <w:u w:val="single"/>
        </w:rPr>
      </w:pPr>
    </w:p>
    <w:p w14:paraId="477364AD" w14:textId="77777777" w:rsidR="00952DC5" w:rsidRPr="00952DC5" w:rsidRDefault="00952DC5" w:rsidP="007D7D1C">
      <w:pPr>
        <w:jc w:val="both"/>
        <w:rPr>
          <w:b/>
          <w:sz w:val="24"/>
          <w:szCs w:val="24"/>
        </w:rPr>
      </w:pPr>
      <w:r w:rsidRPr="00952DC5">
        <w:rPr>
          <w:b/>
          <w:sz w:val="24"/>
          <w:szCs w:val="24"/>
        </w:rPr>
        <w:t>Client Referrals</w:t>
      </w:r>
    </w:p>
    <w:p w14:paraId="30EA1BE3" w14:textId="77777777" w:rsidR="000F5BAF" w:rsidRDefault="00952DC5" w:rsidP="00CF5C12">
      <w:pPr>
        <w:jc w:val="both"/>
      </w:pPr>
      <w:r>
        <w:t xml:space="preserve">The majority of our new </w:t>
      </w:r>
      <w:r w:rsidR="0088409F">
        <w:t xml:space="preserve">investment advisory or financial planning </w:t>
      </w:r>
      <w:r>
        <w:t>business comes in the form of client referrals</w:t>
      </w:r>
      <w:r w:rsidR="008F6EE7">
        <w:t xml:space="preserve"> and additional business from current client</w:t>
      </w:r>
      <w:r>
        <w:t xml:space="preserve">.  The </w:t>
      </w:r>
      <w:r w:rsidR="00092FA8">
        <w:t xml:space="preserve">main </w:t>
      </w:r>
      <w:r>
        <w:t xml:space="preserve">source of referrals </w:t>
      </w:r>
      <w:r w:rsidR="002B5C3A">
        <w:t>com</w:t>
      </w:r>
      <w:r>
        <w:t xml:space="preserve">e </w:t>
      </w:r>
      <w:r w:rsidR="002B5C3A">
        <w:t>from</w:t>
      </w:r>
      <w:r>
        <w:t xml:space="preserve"> of the following; current clients, friends and family, lawyers, accountants.  We do not compensate third parties for any incoming referrals.  </w:t>
      </w:r>
    </w:p>
    <w:p w14:paraId="023A0525" w14:textId="77777777" w:rsidR="00D73FC6" w:rsidRDefault="00D73FC6" w:rsidP="00CF5C12">
      <w:pPr>
        <w:jc w:val="both"/>
      </w:pPr>
    </w:p>
    <w:p w14:paraId="475F69A0" w14:textId="77777777" w:rsidR="00D73FC6" w:rsidRPr="00B97EF0" w:rsidRDefault="00D73FC6" w:rsidP="00D73FC6">
      <w:pPr>
        <w:jc w:val="both"/>
      </w:pPr>
      <w:r w:rsidRPr="00B97EF0">
        <w:t>In accordance with Rule 206 (4)-1 of the Investment Advisers Act of 1940, our firm does not provide cash or non-cash compensation directly or indirectly to unaffiliated persons for testimonials or endorsements (which include client referrals).</w:t>
      </w:r>
    </w:p>
    <w:p w14:paraId="3CED5196" w14:textId="77777777" w:rsidR="00D73FC6" w:rsidRDefault="00D73FC6" w:rsidP="00CF5C12">
      <w:pPr>
        <w:jc w:val="both"/>
      </w:pPr>
    </w:p>
    <w:p w14:paraId="510E0F50" w14:textId="77777777" w:rsidR="00065908" w:rsidRPr="00065908" w:rsidRDefault="00065908" w:rsidP="00306DA8">
      <w:pPr>
        <w:jc w:val="center"/>
        <w:rPr>
          <w:rFonts w:ascii="Arial" w:hAnsi="Arial" w:cs="Arial"/>
          <w:b/>
          <w:u w:val="single"/>
        </w:rPr>
      </w:pPr>
    </w:p>
    <w:p w14:paraId="236E4449" w14:textId="3AF00475" w:rsidR="00306DA8" w:rsidRDefault="00306DA8" w:rsidP="00306DA8">
      <w:pPr>
        <w:jc w:val="center"/>
        <w:rPr>
          <w:rFonts w:ascii="Arial" w:hAnsi="Arial" w:cs="Arial"/>
          <w:b/>
          <w:sz w:val="28"/>
          <w:szCs w:val="28"/>
          <w:u w:val="single"/>
        </w:rPr>
      </w:pPr>
      <w:r w:rsidRPr="00531830">
        <w:rPr>
          <w:rFonts w:ascii="Arial" w:hAnsi="Arial" w:cs="Arial"/>
          <w:b/>
          <w:sz w:val="28"/>
          <w:szCs w:val="28"/>
          <w:u w:val="single"/>
        </w:rPr>
        <w:t>Custody</w:t>
      </w:r>
    </w:p>
    <w:p w14:paraId="24E7CFD3" w14:textId="5A37FB65" w:rsidR="00CC2F09" w:rsidRPr="00C33018" w:rsidRDefault="00CC2F09" w:rsidP="00C33018">
      <w:pPr>
        <w:autoSpaceDE w:val="0"/>
        <w:autoSpaceDN w:val="0"/>
        <w:jc w:val="both"/>
        <w:rPr>
          <w:b/>
          <w:bCs/>
          <w:color w:val="000000"/>
          <w:sz w:val="24"/>
          <w:szCs w:val="24"/>
        </w:rPr>
      </w:pPr>
    </w:p>
    <w:p w14:paraId="44970516" w14:textId="77777777" w:rsidR="008A4D1C" w:rsidRPr="00C33018" w:rsidRDefault="008A4D1C" w:rsidP="00C33018">
      <w:pPr>
        <w:autoSpaceDE w:val="0"/>
        <w:autoSpaceDN w:val="0"/>
        <w:jc w:val="both"/>
        <w:rPr>
          <w:b/>
          <w:bCs/>
          <w:color w:val="000000"/>
        </w:rPr>
      </w:pPr>
      <w:r w:rsidRPr="00C33018">
        <w:rPr>
          <w:b/>
          <w:bCs/>
          <w:color w:val="000000"/>
          <w:sz w:val="24"/>
          <w:szCs w:val="24"/>
        </w:rPr>
        <w:t>Deduction of Advisory Fees:</w:t>
      </w:r>
    </w:p>
    <w:p w14:paraId="181408B4" w14:textId="52595299" w:rsidR="00467F91" w:rsidRDefault="008A4D1C" w:rsidP="000A0D65">
      <w:pPr>
        <w:pStyle w:val="NoSpacing"/>
        <w:spacing w:before="0" w:beforeAutospacing="0"/>
        <w:jc w:val="both"/>
      </w:pPr>
      <w:r w:rsidRPr="00C33018">
        <w:rPr>
          <w:sz w:val="20"/>
          <w:szCs w:val="20"/>
        </w:rPr>
        <w:t>While our firm does not maintain physical custody of client assets (which are maintained by a qualified custodian, as discussed above), we are deemed to have custody of certain client assets if given the authority to withdraw assets from client accounts, as further described below under “Third Party Money Movement.” All our clients receive account statements directly from their qualified custodian(s) at least quarterly upon opening of an account. We urge our clients to carefully review these statements. Additionally, if our firm decides to send its own account statements to clients, such statements will include a legend that recommends the client compare the account statements received from the qualified custodian with those received from our firm. C</w:t>
      </w:r>
      <w:r w:rsidRPr="00C33018">
        <w:rPr>
          <w:bCs/>
          <w:color w:val="000000"/>
          <w:sz w:val="20"/>
          <w:szCs w:val="20"/>
        </w:rPr>
        <w:t>lients are encouraged to raise any questions with us about the custody, safety or security of their assets and our custodial recommendations.</w:t>
      </w:r>
    </w:p>
    <w:p w14:paraId="7C51C5FB" w14:textId="77777777" w:rsidR="00467F91" w:rsidRPr="00467F91" w:rsidRDefault="00467F91" w:rsidP="00467F91">
      <w:pPr>
        <w:autoSpaceDE w:val="0"/>
        <w:autoSpaceDN w:val="0"/>
        <w:jc w:val="both"/>
        <w:rPr>
          <w:b/>
          <w:bCs/>
          <w:color w:val="000000"/>
          <w:sz w:val="24"/>
          <w:szCs w:val="24"/>
        </w:rPr>
      </w:pPr>
      <w:bookmarkStart w:id="0" w:name="_Hlk507663566"/>
      <w:r w:rsidRPr="00467F91">
        <w:rPr>
          <w:b/>
          <w:bCs/>
          <w:color w:val="000000"/>
          <w:sz w:val="24"/>
          <w:szCs w:val="24"/>
        </w:rPr>
        <w:t>Third Party Money Movement:</w:t>
      </w:r>
    </w:p>
    <w:bookmarkEnd w:id="0"/>
    <w:p w14:paraId="3D244B23" w14:textId="0449A38D" w:rsidR="00CC2F09" w:rsidRPr="00FF60C6" w:rsidRDefault="00CC2F09" w:rsidP="00CF5C12">
      <w:pPr>
        <w:jc w:val="both"/>
        <w:rPr>
          <w:bCs/>
          <w:color w:val="000000"/>
        </w:rPr>
      </w:pPr>
      <w:r w:rsidRPr="00FF60C6">
        <w:rPr>
          <w:bCs/>
          <w:color w:val="000000"/>
        </w:rPr>
        <w:t>The SEC issued a no‐action letter (“Letter”) with respect to the Rule 206(4)‐2 (“Custody Rule”) under the Investment Advisers Act of 1940 (“Advisers Act”). The letter provided guidance on the Custody Rule as well as clarified that an adviser who has the power to disburse client funds to a third party under a standing letter of instruction (“SLOA”) is deemed to have custody. As such, our firm has adopted the following safeguards in conjunction with our Custodians:</w:t>
      </w:r>
    </w:p>
    <w:p w14:paraId="34635FB9"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client provides an instruction to the qualified custodian, in writing, that includes the client’s signature, the third party’s name, and either the third party’s address or the third party’s account number at a custodian to which the transfer should be directed. </w:t>
      </w:r>
    </w:p>
    <w:p w14:paraId="635C0629"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client authorizes the investment adviser, in writing, either on the qualified custodian’s form or separately, to direct transfers to the third party either on a specified schedule or from time to time. </w:t>
      </w:r>
    </w:p>
    <w:p w14:paraId="5C653772"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client’s qualified custodian performs appropriate verification of the instruction, such as a signature review or other method to verify the client’s authorization, and provides a transfer of funds notice to the client promptly after each transfer. </w:t>
      </w:r>
    </w:p>
    <w:p w14:paraId="320D077A"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client has the ability to terminate or change the instruction to the client’s qualified custodian. </w:t>
      </w:r>
    </w:p>
    <w:p w14:paraId="38E49ED9"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investment adviser has no authority or ability to designate or change the identity of the third party, the address, or any other information about the third party contained in the client’s instruction. </w:t>
      </w:r>
    </w:p>
    <w:p w14:paraId="35AEC845" w14:textId="77777777" w:rsidR="00CC2F09" w:rsidRPr="00FF60C6" w:rsidRDefault="00CC2F09" w:rsidP="00CC2F09">
      <w:pPr>
        <w:pStyle w:val="ListParagraph"/>
        <w:numPr>
          <w:ilvl w:val="0"/>
          <w:numId w:val="16"/>
        </w:numPr>
        <w:contextualSpacing/>
        <w:jc w:val="both"/>
        <w:rPr>
          <w:bCs/>
          <w:color w:val="000000"/>
          <w:sz w:val="20"/>
          <w:szCs w:val="20"/>
        </w:rPr>
      </w:pPr>
      <w:r w:rsidRPr="00FF60C6">
        <w:rPr>
          <w:bCs/>
          <w:color w:val="000000"/>
          <w:sz w:val="20"/>
          <w:szCs w:val="20"/>
        </w:rPr>
        <w:t xml:space="preserve">The investment adviser maintains records showing that the third party is not a related party of the investment adviser or located at the same address as the investment adviser. </w:t>
      </w:r>
    </w:p>
    <w:p w14:paraId="0D45C5F4" w14:textId="77777777" w:rsidR="00CC2F09" w:rsidRPr="00FF60C6" w:rsidRDefault="00CC2F09" w:rsidP="00CC2F09">
      <w:pPr>
        <w:pStyle w:val="ListParagraph"/>
        <w:numPr>
          <w:ilvl w:val="0"/>
          <w:numId w:val="16"/>
        </w:numPr>
        <w:autoSpaceDE w:val="0"/>
        <w:autoSpaceDN w:val="0"/>
        <w:jc w:val="both"/>
        <w:rPr>
          <w:sz w:val="20"/>
          <w:szCs w:val="20"/>
        </w:rPr>
      </w:pPr>
      <w:r w:rsidRPr="00FF60C6">
        <w:rPr>
          <w:bCs/>
          <w:color w:val="000000"/>
          <w:sz w:val="20"/>
          <w:szCs w:val="20"/>
        </w:rPr>
        <w:t>The client’s qualified custodian sends the client, in writing, an initial notice confirming the instruction and an annual notice reconfirming the instruction.</w:t>
      </w:r>
    </w:p>
    <w:p w14:paraId="583E5E4A" w14:textId="77777777" w:rsidR="00531830" w:rsidRPr="002727A2" w:rsidRDefault="00531830" w:rsidP="002727A2">
      <w:pPr>
        <w:jc w:val="both"/>
        <w:rPr>
          <w:b/>
          <w:u w:val="single"/>
        </w:rPr>
      </w:pPr>
    </w:p>
    <w:p w14:paraId="6BB41871" w14:textId="77777777" w:rsidR="00531830" w:rsidRPr="0038674E" w:rsidRDefault="00531830" w:rsidP="00531830">
      <w:pPr>
        <w:rPr>
          <w:b/>
          <w:sz w:val="24"/>
          <w:szCs w:val="24"/>
        </w:rPr>
      </w:pPr>
      <w:r w:rsidRPr="0038674E">
        <w:rPr>
          <w:b/>
          <w:sz w:val="24"/>
          <w:szCs w:val="24"/>
        </w:rPr>
        <w:t>Custodian</w:t>
      </w:r>
    </w:p>
    <w:p w14:paraId="771AA5E7" w14:textId="77777777" w:rsidR="000F5BAF" w:rsidRDefault="00952DC5" w:rsidP="00CF5C12">
      <w:pPr>
        <w:pStyle w:val="BodyText"/>
        <w:spacing w:after="0"/>
        <w:jc w:val="both"/>
      </w:pPr>
      <w:r w:rsidRPr="00952DC5">
        <w:t xml:space="preserve">Omega Capital Management, </w:t>
      </w:r>
      <w:r>
        <w:t>LLC</w:t>
      </w:r>
      <w:r w:rsidRPr="00952DC5">
        <w:t xml:space="preserve"> does not</w:t>
      </w:r>
      <w:r w:rsidR="00531830">
        <w:t xml:space="preserve"> act as a custodian for client assets.  All client </w:t>
      </w:r>
      <w:r w:rsidR="002B5C3A">
        <w:t xml:space="preserve">brokerage account </w:t>
      </w:r>
      <w:r w:rsidR="00531830">
        <w:t>assets are deposit</w:t>
      </w:r>
      <w:r w:rsidR="002B5C3A">
        <w:t>ed</w:t>
      </w:r>
      <w:r w:rsidR="00531830">
        <w:t xml:space="preserve"> and held at large well known and respected qualified custodian</w:t>
      </w:r>
      <w:r w:rsidR="002B5C3A">
        <w:t xml:space="preserve"> such as TD A</w:t>
      </w:r>
      <w:r w:rsidR="008A2850">
        <w:t>meritrade</w:t>
      </w:r>
      <w:r w:rsidR="002B5C3A">
        <w:t xml:space="preserve"> Institutional and Vanguard Investments</w:t>
      </w:r>
      <w:r w:rsidR="00531830">
        <w:t xml:space="preserve">.  The custodians send </w:t>
      </w:r>
      <w:r w:rsidR="0088409F">
        <w:t xml:space="preserve">out their own </w:t>
      </w:r>
      <w:r w:rsidR="00531830">
        <w:t xml:space="preserve">client statements on a </w:t>
      </w:r>
      <w:r w:rsidR="0088409F">
        <w:t xml:space="preserve">regular basis, </w:t>
      </w:r>
      <w:r w:rsidR="0038674E">
        <w:t xml:space="preserve">transaction confirmations after a transaction is placed </w:t>
      </w:r>
      <w:r w:rsidR="0088409F">
        <w:t>as well as prospectus and proxy notifications</w:t>
      </w:r>
      <w:r w:rsidR="0038674E">
        <w:t>.</w:t>
      </w:r>
      <w:r w:rsidR="00DD2017">
        <w:t xml:space="preserve">  </w:t>
      </w:r>
    </w:p>
    <w:p w14:paraId="2291044C" w14:textId="77777777" w:rsidR="00C33018" w:rsidRDefault="00C33018" w:rsidP="00DD2017">
      <w:pPr>
        <w:pStyle w:val="BodyText"/>
        <w:spacing w:after="0"/>
      </w:pPr>
    </w:p>
    <w:p w14:paraId="3A12C1D3" w14:textId="77777777" w:rsidR="007C2745" w:rsidRDefault="007C2745" w:rsidP="00DD2017">
      <w:pPr>
        <w:pStyle w:val="BodyText"/>
        <w:spacing w:after="0"/>
      </w:pPr>
    </w:p>
    <w:p w14:paraId="23AB06E2" w14:textId="77777777" w:rsidR="007C2745" w:rsidRDefault="007C2745" w:rsidP="00DD2017">
      <w:pPr>
        <w:pStyle w:val="BodyText"/>
        <w:spacing w:after="0"/>
      </w:pPr>
    </w:p>
    <w:p w14:paraId="55C6FB6F" w14:textId="77777777" w:rsidR="00B50637" w:rsidRPr="00E43618" w:rsidRDefault="00531830" w:rsidP="00B50637">
      <w:pPr>
        <w:autoSpaceDE w:val="0"/>
        <w:autoSpaceDN w:val="0"/>
        <w:adjustRightInd w:val="0"/>
        <w:jc w:val="both"/>
        <w:rPr>
          <w:b/>
          <w:bCs/>
          <w:sz w:val="24"/>
          <w:szCs w:val="24"/>
        </w:rPr>
      </w:pPr>
      <w:r>
        <w:rPr>
          <w:b/>
          <w:bCs/>
          <w:sz w:val="24"/>
          <w:szCs w:val="24"/>
        </w:rPr>
        <w:t>Statements provided by Omega Capital Management, LLC.</w:t>
      </w:r>
    </w:p>
    <w:p w14:paraId="4DA8C517" w14:textId="77777777" w:rsidR="00B50637" w:rsidRPr="00021A36" w:rsidRDefault="00B50637" w:rsidP="00B50637">
      <w:pPr>
        <w:autoSpaceDE w:val="0"/>
        <w:autoSpaceDN w:val="0"/>
        <w:adjustRightInd w:val="0"/>
        <w:jc w:val="both"/>
        <w:rPr>
          <w:b/>
          <w:bCs/>
        </w:rPr>
      </w:pPr>
      <w:r>
        <w:rPr>
          <w:bCs/>
        </w:rPr>
        <w:t xml:space="preserve">Clients receive monthly reports directly each month from TD </w:t>
      </w:r>
      <w:r w:rsidR="002B5C3A">
        <w:rPr>
          <w:bCs/>
        </w:rPr>
        <w:t>AMERITRADE</w:t>
      </w:r>
      <w:r>
        <w:rPr>
          <w:bCs/>
        </w:rPr>
        <w:t xml:space="preserve"> Institutional.  In addition, clients may view their account(s) online through TD </w:t>
      </w:r>
      <w:r w:rsidR="002B5C3A">
        <w:rPr>
          <w:bCs/>
        </w:rPr>
        <w:t>AMERITRADE</w:t>
      </w:r>
      <w:r>
        <w:rPr>
          <w:bCs/>
        </w:rPr>
        <w:t>’s website</w:t>
      </w:r>
      <w:r w:rsidR="0088409F">
        <w:rPr>
          <w:bCs/>
        </w:rPr>
        <w:t>; www.advisorclient.com</w:t>
      </w:r>
      <w:r>
        <w:rPr>
          <w:bCs/>
        </w:rPr>
        <w:t>.  Omega Capital also mails the following at the end of each calendar quarter; cover letter including commentary, portfolio statement, performance report, and a billing statement.</w:t>
      </w:r>
      <w:r w:rsidR="0038674E">
        <w:rPr>
          <w:bCs/>
        </w:rPr>
        <w:t xml:space="preserve">  We do encourage our clients to compare the account statement</w:t>
      </w:r>
      <w:r w:rsidR="00621649">
        <w:rPr>
          <w:bCs/>
        </w:rPr>
        <w:t>(s)</w:t>
      </w:r>
      <w:r w:rsidR="0038674E">
        <w:rPr>
          <w:bCs/>
        </w:rPr>
        <w:t xml:space="preserve"> that they receive from their custodian with those that they receive from Omega Capital Management, LLC.</w:t>
      </w:r>
    </w:p>
    <w:p w14:paraId="20F3C994" w14:textId="77777777" w:rsidR="00366F1A" w:rsidRPr="002727A2" w:rsidRDefault="00366F1A" w:rsidP="002727A2">
      <w:pPr>
        <w:jc w:val="both"/>
        <w:rPr>
          <w:b/>
          <w:u w:val="single"/>
        </w:rPr>
      </w:pPr>
    </w:p>
    <w:p w14:paraId="438907A9" w14:textId="77777777" w:rsidR="00306DA8" w:rsidRPr="00276987" w:rsidRDefault="0038674E" w:rsidP="00306DA8">
      <w:pPr>
        <w:jc w:val="center"/>
        <w:rPr>
          <w:rFonts w:ascii="Arial" w:hAnsi="Arial" w:cs="Arial"/>
          <w:b/>
          <w:sz w:val="28"/>
          <w:szCs w:val="28"/>
          <w:u w:val="single"/>
        </w:rPr>
      </w:pPr>
      <w:r w:rsidRPr="00276987">
        <w:rPr>
          <w:rFonts w:ascii="Arial" w:hAnsi="Arial" w:cs="Arial"/>
          <w:b/>
          <w:sz w:val="28"/>
          <w:szCs w:val="28"/>
          <w:u w:val="single"/>
        </w:rPr>
        <w:t>I</w:t>
      </w:r>
      <w:r w:rsidR="00306DA8" w:rsidRPr="00276987">
        <w:rPr>
          <w:rFonts w:ascii="Arial" w:hAnsi="Arial" w:cs="Arial"/>
          <w:b/>
          <w:sz w:val="28"/>
          <w:szCs w:val="28"/>
          <w:u w:val="single"/>
        </w:rPr>
        <w:t>nvestment Discretion</w:t>
      </w:r>
    </w:p>
    <w:p w14:paraId="7AF7B083" w14:textId="77777777" w:rsidR="00306DA8" w:rsidRDefault="00306DA8" w:rsidP="00A65924">
      <w:pPr>
        <w:pStyle w:val="Header"/>
        <w:tabs>
          <w:tab w:val="clear" w:pos="4320"/>
          <w:tab w:val="clear" w:pos="8640"/>
        </w:tabs>
        <w:jc w:val="both"/>
        <w:rPr>
          <w:sz w:val="24"/>
          <w:szCs w:val="24"/>
        </w:rPr>
      </w:pPr>
    </w:p>
    <w:p w14:paraId="0B3B94CB" w14:textId="77777777" w:rsidR="0038674E" w:rsidRPr="0038674E" w:rsidRDefault="0038674E" w:rsidP="00A65924">
      <w:pPr>
        <w:pStyle w:val="Header"/>
        <w:tabs>
          <w:tab w:val="clear" w:pos="4320"/>
          <w:tab w:val="clear" w:pos="8640"/>
        </w:tabs>
        <w:jc w:val="both"/>
        <w:rPr>
          <w:b/>
          <w:sz w:val="24"/>
          <w:szCs w:val="24"/>
        </w:rPr>
      </w:pPr>
      <w:r w:rsidRPr="0038674E">
        <w:rPr>
          <w:b/>
          <w:sz w:val="24"/>
          <w:szCs w:val="24"/>
        </w:rPr>
        <w:t>Discretionary Authority</w:t>
      </w:r>
    </w:p>
    <w:p w14:paraId="7F097AB2" w14:textId="77777777" w:rsidR="00FB2989" w:rsidRDefault="00FB2989" w:rsidP="00A65924">
      <w:pPr>
        <w:pStyle w:val="Header"/>
        <w:tabs>
          <w:tab w:val="clear" w:pos="4320"/>
          <w:tab w:val="clear" w:pos="8640"/>
        </w:tabs>
        <w:jc w:val="both"/>
      </w:pPr>
      <w:r w:rsidRPr="00FB2989">
        <w:t>Clients have the option of providing our firm with investment discretion on their behalf, pursuant to an executed investment advisory client agreement. By granting investment discretion, our firm is authorized to execute securities transactions, determine which securities are bought and sold, and the total amount to be bought and sold. Should clients grant our firm non-discretionary authority, our firm would be required to obtain the client’s permission prior to effecting securities transactions. Limitations may be imposed by the client in the form of specific constraints on any of these areas of discretion with our firm’s written acknowledgement.</w:t>
      </w:r>
    </w:p>
    <w:p w14:paraId="05FF8F95" w14:textId="6D05388D" w:rsidR="00E679C7" w:rsidRPr="002727A2" w:rsidRDefault="00FB2989" w:rsidP="00A65924">
      <w:pPr>
        <w:pStyle w:val="Header"/>
        <w:tabs>
          <w:tab w:val="clear" w:pos="4320"/>
          <w:tab w:val="clear" w:pos="8640"/>
        </w:tabs>
        <w:jc w:val="both"/>
        <w:rPr>
          <w:sz w:val="24"/>
          <w:szCs w:val="24"/>
        </w:rPr>
      </w:pPr>
      <w:r w:rsidDel="00FB2989">
        <w:t xml:space="preserve"> </w:t>
      </w:r>
    </w:p>
    <w:p w14:paraId="38C19E91" w14:textId="77777777" w:rsidR="00306DA8" w:rsidRPr="00C31106" w:rsidRDefault="00C31106" w:rsidP="00A65924">
      <w:pPr>
        <w:pStyle w:val="Header"/>
        <w:tabs>
          <w:tab w:val="clear" w:pos="4320"/>
          <w:tab w:val="clear" w:pos="8640"/>
        </w:tabs>
        <w:jc w:val="both"/>
        <w:rPr>
          <w:b/>
          <w:sz w:val="24"/>
          <w:szCs w:val="24"/>
        </w:rPr>
      </w:pPr>
      <w:r w:rsidRPr="00C31106">
        <w:rPr>
          <w:b/>
          <w:sz w:val="24"/>
          <w:szCs w:val="24"/>
        </w:rPr>
        <w:t>Limited Power of Attorney</w:t>
      </w:r>
    </w:p>
    <w:p w14:paraId="76ECF963" w14:textId="6242971B" w:rsidR="00306DA8" w:rsidRPr="003455B2" w:rsidRDefault="00C31106" w:rsidP="00A65924">
      <w:pPr>
        <w:pStyle w:val="Header"/>
        <w:tabs>
          <w:tab w:val="clear" w:pos="4320"/>
          <w:tab w:val="clear" w:pos="8640"/>
        </w:tabs>
        <w:jc w:val="both"/>
      </w:pPr>
      <w:r w:rsidRPr="003455B2">
        <w:t>The scope of our Power of Attorn</w:t>
      </w:r>
      <w:r w:rsidR="0018344F">
        <w:t>ey is limited to the purchase or</w:t>
      </w:r>
      <w:r w:rsidRPr="003455B2">
        <w:t xml:space="preserve"> sale of securities within the clients brokerage account(s)</w:t>
      </w:r>
      <w:r w:rsidR="00B2135B">
        <w:t xml:space="preserve"> as stated in the Discretionary Authority section directly above</w:t>
      </w:r>
      <w:r w:rsidRPr="003455B2">
        <w:t xml:space="preserve">.  Each client signs an agreement </w:t>
      </w:r>
      <w:r w:rsidR="003455B2" w:rsidRPr="003455B2">
        <w:t xml:space="preserve">providing </w:t>
      </w:r>
      <w:r w:rsidR="0018344F">
        <w:t>Omega Capital</w:t>
      </w:r>
      <w:r w:rsidR="003455B2" w:rsidRPr="003455B2">
        <w:t xml:space="preserve"> with such power to make investment decisions on their behalf.</w:t>
      </w:r>
      <w:r w:rsidR="00B2135B">
        <w:t xml:space="preserve">  Omega Capital does not have any other f</w:t>
      </w:r>
      <w:r w:rsidR="00BE7F53">
        <w:t>orm of Power of Attorney for it</w:t>
      </w:r>
      <w:r w:rsidR="00B2135B">
        <w:t xml:space="preserve">s client's unless </w:t>
      </w:r>
      <w:r w:rsidR="002727A2">
        <w:t>its</w:t>
      </w:r>
      <w:r w:rsidR="00B2135B">
        <w:t xml:space="preserve"> clients appoint Mr. Bedell to that capacity.</w:t>
      </w:r>
    </w:p>
    <w:p w14:paraId="31347E3B" w14:textId="77777777" w:rsidR="003455B2" w:rsidRPr="00D3721A" w:rsidRDefault="003455B2" w:rsidP="00306DA8">
      <w:pPr>
        <w:jc w:val="center"/>
        <w:rPr>
          <w:b/>
          <w:u w:val="single"/>
        </w:rPr>
      </w:pPr>
    </w:p>
    <w:p w14:paraId="45DB6D15" w14:textId="77777777" w:rsidR="00306DA8" w:rsidRPr="00276987" w:rsidRDefault="00306DA8" w:rsidP="00306DA8">
      <w:pPr>
        <w:jc w:val="center"/>
        <w:rPr>
          <w:rFonts w:ascii="Arial" w:hAnsi="Arial" w:cs="Arial"/>
          <w:b/>
          <w:sz w:val="28"/>
          <w:szCs w:val="28"/>
          <w:u w:val="single"/>
        </w:rPr>
      </w:pPr>
      <w:r w:rsidRPr="00276987">
        <w:rPr>
          <w:rFonts w:ascii="Arial" w:hAnsi="Arial" w:cs="Arial"/>
          <w:b/>
          <w:sz w:val="28"/>
          <w:szCs w:val="28"/>
          <w:u w:val="single"/>
        </w:rPr>
        <w:t>Voting Client Securities</w:t>
      </w:r>
    </w:p>
    <w:p w14:paraId="0DF49BB1" w14:textId="77777777" w:rsidR="00276987" w:rsidRPr="00276987" w:rsidRDefault="00276987" w:rsidP="00306DA8">
      <w:pPr>
        <w:jc w:val="center"/>
        <w:rPr>
          <w:b/>
          <w:u w:val="single"/>
        </w:rPr>
      </w:pPr>
    </w:p>
    <w:p w14:paraId="7C059FB4" w14:textId="77777777" w:rsidR="003455B2" w:rsidRPr="003455B2" w:rsidRDefault="003455B2" w:rsidP="00276987">
      <w:pPr>
        <w:pStyle w:val="Header"/>
        <w:tabs>
          <w:tab w:val="clear" w:pos="4320"/>
          <w:tab w:val="clear" w:pos="8640"/>
        </w:tabs>
        <w:rPr>
          <w:b/>
          <w:sz w:val="24"/>
          <w:szCs w:val="24"/>
        </w:rPr>
      </w:pPr>
      <w:r w:rsidRPr="003455B2">
        <w:rPr>
          <w:b/>
          <w:sz w:val="24"/>
          <w:szCs w:val="24"/>
        </w:rPr>
        <w:t>Proxy Voting</w:t>
      </w:r>
    </w:p>
    <w:p w14:paraId="7ECCA463" w14:textId="77777777" w:rsidR="003455B2" w:rsidRDefault="003455B2" w:rsidP="00CF5C12">
      <w:pPr>
        <w:jc w:val="both"/>
      </w:pPr>
      <w:r w:rsidRPr="003455B2">
        <w:t>The Firm will not vote</w:t>
      </w:r>
      <w:r w:rsidR="00065908">
        <w:t xml:space="preserve"> proxies on behalf of advisory c</w:t>
      </w:r>
      <w:r w:rsidRPr="003455B2">
        <w:t xml:space="preserve">lients’ accounts.  Although, on rare occasions and only at the </w:t>
      </w:r>
      <w:r w:rsidR="00065908">
        <w:t>c</w:t>
      </w:r>
      <w:r w:rsidRPr="003455B2">
        <w:t xml:space="preserve">lient’s request, </w:t>
      </w:r>
      <w:r w:rsidR="006C6D27">
        <w:t>Omega Capital</w:t>
      </w:r>
      <w:r w:rsidR="00065908">
        <w:t xml:space="preserve"> may offer c</w:t>
      </w:r>
      <w:r w:rsidRPr="003455B2">
        <w:t>lients advice regarding corporate actions and the exercise of proxy voting rights</w:t>
      </w:r>
      <w:r>
        <w:t>.</w:t>
      </w:r>
      <w:r w:rsidR="009471A7">
        <w:t xml:space="preserve">  Clients will either receive proxies by mail or by email directly from TD Ameritrade Institutional depending on their preference.</w:t>
      </w:r>
    </w:p>
    <w:p w14:paraId="16613D9C" w14:textId="77777777" w:rsidR="00D3721A" w:rsidRPr="003455B2" w:rsidRDefault="00D3721A" w:rsidP="00306DA8">
      <w:pPr>
        <w:jc w:val="center"/>
        <w:rPr>
          <w:b/>
          <w:u w:val="single"/>
        </w:rPr>
      </w:pPr>
    </w:p>
    <w:p w14:paraId="2B8558F3" w14:textId="77777777" w:rsidR="00306DA8" w:rsidRPr="00276987" w:rsidRDefault="00306DA8" w:rsidP="00306DA8">
      <w:pPr>
        <w:jc w:val="center"/>
        <w:rPr>
          <w:rFonts w:ascii="Arial" w:hAnsi="Arial" w:cs="Arial"/>
          <w:b/>
          <w:sz w:val="28"/>
          <w:szCs w:val="28"/>
          <w:u w:val="single"/>
        </w:rPr>
      </w:pPr>
      <w:r w:rsidRPr="00276987">
        <w:rPr>
          <w:rFonts w:ascii="Arial" w:hAnsi="Arial" w:cs="Arial"/>
          <w:b/>
          <w:sz w:val="28"/>
          <w:szCs w:val="28"/>
          <w:u w:val="single"/>
        </w:rPr>
        <w:t>Financial Information</w:t>
      </w:r>
    </w:p>
    <w:p w14:paraId="35B21C7F" w14:textId="77777777" w:rsidR="00276987" w:rsidRDefault="00276987" w:rsidP="003455B2">
      <w:pPr>
        <w:rPr>
          <w:b/>
          <w:u w:val="single"/>
        </w:rPr>
      </w:pPr>
    </w:p>
    <w:p w14:paraId="0CFC1326" w14:textId="77777777" w:rsidR="00276987" w:rsidRPr="00276987" w:rsidRDefault="00276987" w:rsidP="003455B2">
      <w:pPr>
        <w:rPr>
          <w:b/>
          <w:sz w:val="24"/>
          <w:szCs w:val="24"/>
        </w:rPr>
      </w:pPr>
      <w:r w:rsidRPr="00276987">
        <w:rPr>
          <w:b/>
          <w:sz w:val="24"/>
          <w:szCs w:val="24"/>
        </w:rPr>
        <w:t xml:space="preserve">Financial </w:t>
      </w:r>
      <w:r>
        <w:rPr>
          <w:b/>
          <w:sz w:val="24"/>
          <w:szCs w:val="24"/>
        </w:rPr>
        <w:t>Reporting R</w:t>
      </w:r>
      <w:r w:rsidR="00C15AFA">
        <w:rPr>
          <w:b/>
          <w:sz w:val="24"/>
          <w:szCs w:val="24"/>
        </w:rPr>
        <w:t>e</w:t>
      </w:r>
      <w:r>
        <w:rPr>
          <w:b/>
          <w:sz w:val="24"/>
          <w:szCs w:val="24"/>
        </w:rPr>
        <w:t>quirements</w:t>
      </w:r>
    </w:p>
    <w:p w14:paraId="3B828B8F" w14:textId="77777777" w:rsidR="004651CD" w:rsidRPr="00FF60C6" w:rsidRDefault="004651CD" w:rsidP="00FF60C6">
      <w:pPr>
        <w:pStyle w:val="NoSpacing"/>
        <w:spacing w:before="0" w:beforeAutospacing="0" w:after="0" w:afterAutospacing="0"/>
        <w:jc w:val="both"/>
        <w:rPr>
          <w:sz w:val="20"/>
          <w:szCs w:val="20"/>
          <w:lang w:bidi="en-US"/>
        </w:rPr>
      </w:pPr>
      <w:r w:rsidRPr="00FF60C6">
        <w:rPr>
          <w:sz w:val="20"/>
          <w:szCs w:val="20"/>
          <w:lang w:bidi="en-US"/>
        </w:rPr>
        <w:t>Our firm is not required to provide financial information in this Brochure because:</w:t>
      </w:r>
    </w:p>
    <w:p w14:paraId="1A30C272" w14:textId="42D0A35C" w:rsidR="004651CD" w:rsidRPr="00FF60C6" w:rsidRDefault="004651CD">
      <w:pPr>
        <w:pStyle w:val="NoSpacing"/>
        <w:numPr>
          <w:ilvl w:val="0"/>
          <w:numId w:val="18"/>
        </w:numPr>
        <w:spacing w:before="0" w:beforeAutospacing="0" w:after="0" w:afterAutospacing="0"/>
        <w:ind w:left="720"/>
        <w:jc w:val="both"/>
        <w:rPr>
          <w:sz w:val="20"/>
          <w:szCs w:val="20"/>
          <w:lang w:bidi="en-US"/>
        </w:rPr>
      </w:pPr>
      <w:r w:rsidRPr="00FF60C6">
        <w:rPr>
          <w:sz w:val="20"/>
          <w:szCs w:val="20"/>
          <w:lang w:bidi="en-US"/>
        </w:rPr>
        <w:t>Our firm does not require the prepayment of more than $</w:t>
      </w:r>
      <w:r w:rsidR="00425E34">
        <w:rPr>
          <w:sz w:val="20"/>
          <w:szCs w:val="20"/>
          <w:lang w:bidi="en-US"/>
        </w:rPr>
        <w:t>1,200</w:t>
      </w:r>
      <w:r w:rsidRPr="00FF60C6">
        <w:rPr>
          <w:sz w:val="20"/>
          <w:szCs w:val="20"/>
          <w:lang w:bidi="en-US"/>
        </w:rPr>
        <w:t xml:space="preserve"> in fees when services cannot be rendered within 6 months.</w:t>
      </w:r>
    </w:p>
    <w:p w14:paraId="5BA04C8E" w14:textId="77777777" w:rsidR="004651CD" w:rsidRPr="00FF60C6" w:rsidRDefault="004651CD">
      <w:pPr>
        <w:pStyle w:val="NoSpacing"/>
        <w:numPr>
          <w:ilvl w:val="0"/>
          <w:numId w:val="18"/>
        </w:numPr>
        <w:spacing w:before="0" w:beforeAutospacing="0" w:after="0" w:afterAutospacing="0"/>
        <w:ind w:left="720"/>
        <w:jc w:val="both"/>
        <w:rPr>
          <w:sz w:val="20"/>
          <w:szCs w:val="20"/>
          <w:lang w:bidi="en-US"/>
        </w:rPr>
      </w:pPr>
      <w:r w:rsidRPr="00FF60C6">
        <w:rPr>
          <w:sz w:val="20"/>
          <w:szCs w:val="20"/>
          <w:lang w:bidi="en-US"/>
        </w:rPr>
        <w:t>Our firm does not take custody of client funds or securities.</w:t>
      </w:r>
    </w:p>
    <w:p w14:paraId="4FF11436" w14:textId="4DA18032" w:rsidR="004651CD" w:rsidRDefault="004651CD" w:rsidP="00FF60C6">
      <w:pPr>
        <w:pStyle w:val="NoSpacing"/>
        <w:numPr>
          <w:ilvl w:val="0"/>
          <w:numId w:val="18"/>
        </w:numPr>
        <w:spacing w:before="0" w:beforeAutospacing="0" w:after="0" w:afterAutospacing="0"/>
        <w:ind w:left="720"/>
        <w:jc w:val="both"/>
        <w:rPr>
          <w:sz w:val="20"/>
          <w:szCs w:val="20"/>
          <w:lang w:bidi="en-US"/>
        </w:rPr>
      </w:pPr>
      <w:r w:rsidRPr="00FF60C6">
        <w:rPr>
          <w:sz w:val="20"/>
          <w:szCs w:val="20"/>
          <w:lang w:bidi="en-US"/>
        </w:rPr>
        <w:t>Our firm has never been the subject of a bankruptcy proceeding.</w:t>
      </w:r>
    </w:p>
    <w:p w14:paraId="78FF0FAB" w14:textId="77777777" w:rsidR="00425122" w:rsidRDefault="00425122" w:rsidP="00425122">
      <w:pPr>
        <w:jc w:val="both"/>
      </w:pPr>
      <w:bookmarkStart w:id="1" w:name="_Hlk39662711"/>
    </w:p>
    <w:bookmarkEnd w:id="1"/>
    <w:p w14:paraId="0949FB8D" w14:textId="76440B6A" w:rsidR="004651CD" w:rsidRDefault="004651CD" w:rsidP="003455B2"/>
    <w:p w14:paraId="60BF2439" w14:textId="77777777" w:rsidR="003C0911" w:rsidRPr="00FF60C6" w:rsidRDefault="00B35C4F" w:rsidP="00B66665">
      <w:pPr>
        <w:pStyle w:val="Header"/>
        <w:tabs>
          <w:tab w:val="clear" w:pos="4320"/>
          <w:tab w:val="clear" w:pos="8640"/>
        </w:tabs>
        <w:jc w:val="center"/>
        <w:rPr>
          <w:rFonts w:ascii="Arial" w:hAnsi="Arial" w:cs="Arial"/>
          <w:b/>
          <w:sz w:val="24"/>
          <w:szCs w:val="24"/>
          <w:u w:val="single"/>
        </w:rPr>
      </w:pPr>
      <w:r w:rsidRPr="00FF60C6">
        <w:rPr>
          <w:rFonts w:ascii="Arial" w:hAnsi="Arial" w:cs="Arial"/>
          <w:b/>
          <w:sz w:val="24"/>
          <w:szCs w:val="24"/>
          <w:u w:val="single"/>
        </w:rPr>
        <w:t>Client Privacy</w:t>
      </w:r>
    </w:p>
    <w:p w14:paraId="1FDD88F5" w14:textId="77777777" w:rsidR="00B35C4F" w:rsidRDefault="00B35C4F" w:rsidP="00A65924">
      <w:pPr>
        <w:pStyle w:val="Header"/>
        <w:tabs>
          <w:tab w:val="clear" w:pos="4320"/>
          <w:tab w:val="clear" w:pos="8640"/>
        </w:tabs>
        <w:jc w:val="both"/>
        <w:rPr>
          <w:rFonts w:ascii="Arial" w:hAnsi="Arial" w:cs="Arial"/>
        </w:rPr>
      </w:pPr>
    </w:p>
    <w:p w14:paraId="10DBE836" w14:textId="77777777" w:rsidR="00B35C4F" w:rsidRPr="00B66665" w:rsidRDefault="00B35C4F" w:rsidP="00A65924">
      <w:pPr>
        <w:pStyle w:val="Header"/>
        <w:tabs>
          <w:tab w:val="clear" w:pos="4320"/>
          <w:tab w:val="clear" w:pos="8640"/>
        </w:tabs>
        <w:jc w:val="both"/>
        <w:rPr>
          <w:b/>
          <w:sz w:val="24"/>
          <w:szCs w:val="24"/>
        </w:rPr>
      </w:pPr>
      <w:r w:rsidRPr="00B66665">
        <w:rPr>
          <w:b/>
          <w:sz w:val="24"/>
          <w:szCs w:val="24"/>
        </w:rPr>
        <w:t>Privacy Policy</w:t>
      </w:r>
    </w:p>
    <w:p w14:paraId="5F6824D9" w14:textId="77777777" w:rsidR="00B35C4F" w:rsidRPr="00B66665" w:rsidRDefault="00B35C4F" w:rsidP="00B35C4F">
      <w:pPr>
        <w:pStyle w:val="BodyText3"/>
      </w:pPr>
      <w:r w:rsidRPr="00B66665">
        <w:t xml:space="preserve">Protecting client privacy is very important to </w:t>
      </w:r>
      <w:r w:rsidR="006C6D27">
        <w:t>Omega Capital</w:t>
      </w:r>
      <w:r w:rsidRPr="00B66665">
        <w:t xml:space="preserve">. The Firm views protecting its customers' private information as a top priority and, pursuant to the requirements of the federal Gramm-Leach-Bliley Act, </w:t>
      </w:r>
      <w:r w:rsidR="006C6D27">
        <w:t>Omega Capital</w:t>
      </w:r>
      <w:r w:rsidRPr="00B66665">
        <w:t xml:space="preserve"> has instituted policies and procedures to ensure that customer information is kept private and secure.  </w:t>
      </w:r>
      <w:r w:rsidR="006C6D27">
        <w:t>Omega Capital</w:t>
      </w:r>
      <w:r w:rsidRPr="00B66665">
        <w:t xml:space="preserve"> does not disclose any nonpublic personal information about its clients or former clients to any nonaffiliated third parties, except as permitted by law. In the course of servicing a client's account, OCM may share some information with its service providers, such as transfer agents, custodians, broker-dealers, consultants, accountants, and lawyers.</w:t>
      </w:r>
    </w:p>
    <w:p w14:paraId="395A92BE" w14:textId="77777777" w:rsidR="00B35C4F" w:rsidRPr="00B66665" w:rsidRDefault="00B35C4F" w:rsidP="00B35C4F">
      <w:pPr>
        <w:pStyle w:val="BodyText3"/>
        <w:rPr>
          <w:snapToGrid w:val="0"/>
        </w:rPr>
      </w:pPr>
    </w:p>
    <w:p w14:paraId="62BC4ACE" w14:textId="77777777" w:rsidR="00B35C4F" w:rsidRDefault="00A21104" w:rsidP="00B35C4F">
      <w:pPr>
        <w:pStyle w:val="Header"/>
        <w:tabs>
          <w:tab w:val="clear" w:pos="4320"/>
          <w:tab w:val="clear" w:pos="8640"/>
        </w:tabs>
        <w:jc w:val="both"/>
      </w:pPr>
      <w:r>
        <w:t>Omega Capital Management, LLC</w:t>
      </w:r>
      <w:r w:rsidR="00B35C4F" w:rsidRPr="00B66665">
        <w:t xml:space="preserve"> restricts internal access to nonpublic personal information about the client to</w:t>
      </w:r>
      <w:r w:rsidR="00546DEA">
        <w:t xml:space="preserve"> those associated persons of</w:t>
      </w:r>
      <w:r w:rsidR="00B35C4F" w:rsidRPr="00B66665">
        <w:t xml:space="preserve"> </w:t>
      </w:r>
      <w:r w:rsidR="006C6D27">
        <w:t>Omega Capital</w:t>
      </w:r>
      <w:r w:rsidR="00B35C4F" w:rsidRPr="00B66665">
        <w:t xml:space="preserve"> who need access to that information in order to provide services to the client. As emphasized above, it has always been and will always be </w:t>
      </w:r>
      <w:r w:rsidR="006C6D27">
        <w:t>Omega Capital</w:t>
      </w:r>
      <w:r>
        <w:t>’s</w:t>
      </w:r>
      <w:r w:rsidR="00B35C4F" w:rsidRPr="00B66665">
        <w:t xml:space="preserve"> policy never to sell information about current or former clients or their accounts to anyone.  It is also </w:t>
      </w:r>
      <w:r w:rsidR="006C6D27">
        <w:t>Omega Capital</w:t>
      </w:r>
      <w:r>
        <w:t>’s</w:t>
      </w:r>
      <w:r w:rsidR="00B35C4F" w:rsidRPr="00B66665">
        <w:t xml:space="preserve"> policy not to share information unless required to process a transaction, at the request of a client, or as required by law. </w:t>
      </w:r>
      <w:r w:rsidR="006C6D27">
        <w:t>Omega Capital</w:t>
      </w:r>
      <w:r w:rsidR="00B35C4F" w:rsidRPr="00B66665">
        <w:t xml:space="preserve">’s Privacy Policy is available upon client’s </w:t>
      </w:r>
      <w:r w:rsidR="00546DEA">
        <w:t xml:space="preserve">engagement </w:t>
      </w:r>
      <w:r w:rsidR="00E07108">
        <w:t xml:space="preserve">of </w:t>
      </w:r>
      <w:r w:rsidR="00E07108" w:rsidRPr="00B66665">
        <w:t>Omega</w:t>
      </w:r>
      <w:r w:rsidR="00546DEA">
        <w:t xml:space="preserve"> Capital’s</w:t>
      </w:r>
      <w:r w:rsidR="00B35C4F" w:rsidRPr="00B66665">
        <w:t xml:space="preserve"> services or by prior request of the clients.</w:t>
      </w:r>
    </w:p>
    <w:p w14:paraId="6C8E9B1F" w14:textId="77777777" w:rsidR="00326093" w:rsidRPr="00B66665" w:rsidRDefault="00326093" w:rsidP="00B35C4F">
      <w:pPr>
        <w:pStyle w:val="Header"/>
        <w:tabs>
          <w:tab w:val="clear" w:pos="4320"/>
          <w:tab w:val="clear" w:pos="8640"/>
        </w:tabs>
        <w:jc w:val="both"/>
      </w:pPr>
    </w:p>
    <w:p w14:paraId="35E1EFBF" w14:textId="77777777" w:rsidR="00B35C4F" w:rsidRDefault="00546DEA" w:rsidP="00B35C4F">
      <w:pPr>
        <w:pStyle w:val="Header"/>
        <w:tabs>
          <w:tab w:val="clear" w:pos="4320"/>
          <w:tab w:val="clear" w:pos="8640"/>
        </w:tabs>
        <w:jc w:val="both"/>
      </w:pPr>
      <w:r>
        <w:t>A copy of</w:t>
      </w:r>
      <w:r w:rsidR="00B35C4F" w:rsidRPr="00B66665">
        <w:t xml:space="preserve"> </w:t>
      </w:r>
      <w:r w:rsidR="006C6D27">
        <w:t>Omega Capital</w:t>
      </w:r>
      <w:r w:rsidR="00A21104">
        <w:t>’s</w:t>
      </w:r>
      <w:r w:rsidR="00B35C4F" w:rsidRPr="00B66665">
        <w:t xml:space="preserve"> privacy policy notice will be provided to each client prior to, or contemporaneously with, the execution of any advisory agreement. Thereafter, </w:t>
      </w:r>
      <w:r w:rsidR="006C6D27">
        <w:t>Omega Capital</w:t>
      </w:r>
      <w:r w:rsidR="00B35C4F" w:rsidRPr="00B66665">
        <w:t xml:space="preserve"> will deliver a copy of the current privacy policy notice to its clients annually. Questions regarding this policy should be directed to Steven M. Bedell, Managing Principal and Chief Compliance Officer, at (973) 9277-8388.</w:t>
      </w:r>
    </w:p>
    <w:p w14:paraId="2079AC29" w14:textId="12EF8511" w:rsidR="004651CD" w:rsidRPr="00FF60C6" w:rsidRDefault="004651CD" w:rsidP="00FF60C6">
      <w:pPr>
        <w:pStyle w:val="Header"/>
        <w:tabs>
          <w:tab w:val="clear" w:pos="4320"/>
          <w:tab w:val="clear" w:pos="8640"/>
        </w:tabs>
        <w:rPr>
          <w:i/>
          <w:iCs/>
        </w:rPr>
      </w:pPr>
    </w:p>
    <w:p w14:paraId="2CE13D27" w14:textId="77777777" w:rsidR="00C15AFA" w:rsidRPr="00FF60C6" w:rsidRDefault="00C15AFA" w:rsidP="00C15AFA">
      <w:pPr>
        <w:jc w:val="center"/>
        <w:rPr>
          <w:rFonts w:ascii="Arial" w:hAnsi="Arial" w:cs="Arial"/>
          <w:b/>
          <w:sz w:val="24"/>
          <w:szCs w:val="24"/>
          <w:u w:val="single"/>
        </w:rPr>
      </w:pPr>
      <w:r w:rsidRPr="00FF60C6">
        <w:rPr>
          <w:rFonts w:ascii="Arial" w:hAnsi="Arial" w:cs="Arial"/>
          <w:b/>
          <w:sz w:val="24"/>
          <w:szCs w:val="24"/>
          <w:u w:val="single"/>
        </w:rPr>
        <w:t>Disaster Recovery</w:t>
      </w:r>
    </w:p>
    <w:p w14:paraId="2234BC8C" w14:textId="77777777" w:rsidR="004651CD" w:rsidRDefault="004651CD" w:rsidP="00B35C4F">
      <w:pPr>
        <w:pStyle w:val="Header"/>
        <w:tabs>
          <w:tab w:val="clear" w:pos="4320"/>
          <w:tab w:val="clear" w:pos="8640"/>
        </w:tabs>
        <w:jc w:val="both"/>
        <w:rPr>
          <w:b/>
          <w:sz w:val="24"/>
          <w:szCs w:val="24"/>
        </w:rPr>
      </w:pPr>
    </w:p>
    <w:p w14:paraId="3DCA3411" w14:textId="77777777" w:rsidR="00C15AFA" w:rsidRDefault="00C15AFA" w:rsidP="00B35C4F">
      <w:pPr>
        <w:pStyle w:val="Header"/>
        <w:tabs>
          <w:tab w:val="clear" w:pos="4320"/>
          <w:tab w:val="clear" w:pos="8640"/>
        </w:tabs>
        <w:jc w:val="both"/>
        <w:rPr>
          <w:b/>
          <w:sz w:val="24"/>
          <w:szCs w:val="24"/>
        </w:rPr>
      </w:pPr>
      <w:r w:rsidRPr="00A23209">
        <w:rPr>
          <w:b/>
          <w:sz w:val="24"/>
          <w:szCs w:val="24"/>
        </w:rPr>
        <w:t>Disaster Recovery</w:t>
      </w:r>
    </w:p>
    <w:p w14:paraId="113C4E24" w14:textId="7CBF1184" w:rsidR="003C0911" w:rsidRPr="004F7E25" w:rsidRDefault="00333A47" w:rsidP="00A65924">
      <w:pPr>
        <w:pStyle w:val="Header"/>
        <w:tabs>
          <w:tab w:val="clear" w:pos="4320"/>
          <w:tab w:val="clear" w:pos="8640"/>
        </w:tabs>
        <w:jc w:val="both"/>
        <w:rPr>
          <w:rFonts w:ascii="Arial" w:hAnsi="Arial" w:cs="Arial"/>
        </w:rPr>
      </w:pPr>
      <w:r w:rsidRPr="004F7E25">
        <w:t xml:space="preserve">In the event that the firm cannot work out if its current location, the operations will be temporarily relocated to the home of Steven Bedell until the premises can be </w:t>
      </w:r>
      <w:r w:rsidR="00A21104">
        <w:t>repaired</w:t>
      </w:r>
      <w:r w:rsidRPr="004F7E25">
        <w:t xml:space="preserve">.  Clients will be notified within a week in the case </w:t>
      </w:r>
      <w:r w:rsidR="00A21104">
        <w:t>that</w:t>
      </w:r>
      <w:r w:rsidRPr="004F7E25">
        <w:t xml:space="preserve"> such a move is necessary.  </w:t>
      </w:r>
      <w:r w:rsidR="00A21104">
        <w:t>Omega Capital Management, LLC</w:t>
      </w:r>
      <w:r w:rsidR="00A23209" w:rsidRPr="004F7E25">
        <w:t xml:space="preserve"> backs up its </w:t>
      </w:r>
      <w:r w:rsidRPr="004F7E25">
        <w:t xml:space="preserve">client </w:t>
      </w:r>
      <w:r w:rsidR="00A23209" w:rsidRPr="004F7E25">
        <w:t xml:space="preserve">data </w:t>
      </w:r>
      <w:r w:rsidR="00F5666F">
        <w:t>at least</w:t>
      </w:r>
      <w:r w:rsidR="00A23209" w:rsidRPr="004F7E25">
        <w:t xml:space="preserve"> week</w:t>
      </w:r>
      <w:r w:rsidR="00F5666F">
        <w:t>ly,</w:t>
      </w:r>
      <w:r w:rsidR="00A23209" w:rsidRPr="004F7E25">
        <w:t xml:space="preserve"> </w:t>
      </w:r>
      <w:r w:rsidRPr="004F7E25">
        <w:t xml:space="preserve">utilizing the services of </w:t>
      </w:r>
      <w:r w:rsidR="00BD17BE">
        <w:t>Carbonite which purchased our prior vendor,</w:t>
      </w:r>
      <w:r w:rsidR="00AD68D8">
        <w:t xml:space="preserve"> </w:t>
      </w:r>
      <w:r w:rsidR="0067763D">
        <w:t>EVault</w:t>
      </w:r>
      <w:r w:rsidRPr="004F7E25">
        <w:t>, a division of Seagate Technology</w:t>
      </w:r>
      <w:r w:rsidR="00AD68D8">
        <w:t xml:space="preserve"> Corp</w:t>
      </w:r>
      <w:r w:rsidR="009B411B">
        <w:t>, which stores the data at several location</w:t>
      </w:r>
      <w:r w:rsidR="00546DEA">
        <w:t>s</w:t>
      </w:r>
      <w:r w:rsidR="009B411B">
        <w:t xml:space="preserve"> across the country</w:t>
      </w:r>
      <w:r w:rsidRPr="004F7E25">
        <w:t>.</w:t>
      </w:r>
      <w:r w:rsidR="00BD17BE">
        <w:t xml:space="preserve">  Omega Ca</w:t>
      </w:r>
      <w:r w:rsidR="00AD68D8">
        <w:t xml:space="preserve">pital also maintains a </w:t>
      </w:r>
      <w:r w:rsidR="00B97EF0">
        <w:t>backup</w:t>
      </w:r>
      <w:r w:rsidR="00BD17BE">
        <w:t xml:space="preserve"> computer an</w:t>
      </w:r>
      <w:r w:rsidR="00AD68D8">
        <w:t>d</w:t>
      </w:r>
      <w:r w:rsidR="00BD17BE">
        <w:t xml:space="preserve"> also backs up its data to a separate external hard disk drive</w:t>
      </w:r>
      <w:r w:rsidR="00AD68D8">
        <w:t xml:space="preserve"> on a regular basis</w:t>
      </w:r>
      <w:r w:rsidR="00BD17BE">
        <w:t>.</w:t>
      </w:r>
      <w:r w:rsidRPr="004F7E25">
        <w:t xml:space="preserve"> </w:t>
      </w:r>
    </w:p>
    <w:p w14:paraId="518E6603" w14:textId="77777777" w:rsidR="003C0911" w:rsidRDefault="003C0911" w:rsidP="00A65924">
      <w:pPr>
        <w:pStyle w:val="Header"/>
        <w:tabs>
          <w:tab w:val="clear" w:pos="4320"/>
          <w:tab w:val="clear" w:pos="8640"/>
        </w:tabs>
        <w:jc w:val="both"/>
        <w:rPr>
          <w:rFonts w:ascii="Arial" w:hAnsi="Arial" w:cs="Arial"/>
        </w:rPr>
      </w:pPr>
    </w:p>
    <w:p w14:paraId="5EEC5E00" w14:textId="77777777" w:rsidR="003C0911" w:rsidRDefault="003C0911" w:rsidP="00A65924">
      <w:pPr>
        <w:pStyle w:val="Header"/>
        <w:tabs>
          <w:tab w:val="clear" w:pos="4320"/>
          <w:tab w:val="clear" w:pos="8640"/>
        </w:tabs>
        <w:jc w:val="both"/>
        <w:rPr>
          <w:rFonts w:ascii="Arial" w:hAnsi="Arial" w:cs="Arial"/>
        </w:rPr>
      </w:pPr>
    </w:p>
    <w:p w14:paraId="2CDF08D5" w14:textId="77777777" w:rsidR="003C0911" w:rsidRDefault="003C0911" w:rsidP="00A65924">
      <w:pPr>
        <w:pStyle w:val="Header"/>
        <w:tabs>
          <w:tab w:val="clear" w:pos="4320"/>
          <w:tab w:val="clear" w:pos="8640"/>
        </w:tabs>
        <w:jc w:val="both"/>
        <w:rPr>
          <w:rFonts w:ascii="Arial" w:hAnsi="Arial" w:cs="Arial"/>
        </w:rPr>
      </w:pPr>
    </w:p>
    <w:p w14:paraId="292430A7" w14:textId="77777777" w:rsidR="001F161D" w:rsidRDefault="001F161D" w:rsidP="00A65924">
      <w:pPr>
        <w:pStyle w:val="Header"/>
        <w:tabs>
          <w:tab w:val="clear" w:pos="4320"/>
          <w:tab w:val="clear" w:pos="8640"/>
        </w:tabs>
        <w:jc w:val="both"/>
        <w:rPr>
          <w:rFonts w:ascii="Arial" w:hAnsi="Arial" w:cs="Arial"/>
        </w:rPr>
      </w:pPr>
    </w:p>
    <w:p w14:paraId="6C6B48C9" w14:textId="77777777" w:rsidR="001F161D" w:rsidRDefault="001F161D" w:rsidP="00A65924">
      <w:pPr>
        <w:pStyle w:val="Header"/>
        <w:tabs>
          <w:tab w:val="clear" w:pos="4320"/>
          <w:tab w:val="clear" w:pos="8640"/>
        </w:tabs>
        <w:jc w:val="both"/>
        <w:rPr>
          <w:rFonts w:ascii="Arial" w:hAnsi="Arial" w:cs="Arial"/>
        </w:rPr>
      </w:pPr>
    </w:p>
    <w:p w14:paraId="6AD44A37" w14:textId="77777777" w:rsidR="001F161D" w:rsidRDefault="001F161D" w:rsidP="00A65924">
      <w:pPr>
        <w:pStyle w:val="Header"/>
        <w:tabs>
          <w:tab w:val="clear" w:pos="4320"/>
          <w:tab w:val="clear" w:pos="8640"/>
        </w:tabs>
        <w:jc w:val="both"/>
        <w:rPr>
          <w:rFonts w:ascii="Arial" w:hAnsi="Arial" w:cs="Arial"/>
        </w:rPr>
      </w:pPr>
    </w:p>
    <w:p w14:paraId="6D302247" w14:textId="77777777" w:rsidR="00EC426A" w:rsidRDefault="00EC426A" w:rsidP="00A65924">
      <w:pPr>
        <w:pStyle w:val="Header"/>
        <w:tabs>
          <w:tab w:val="clear" w:pos="4320"/>
          <w:tab w:val="clear" w:pos="8640"/>
        </w:tabs>
        <w:jc w:val="both"/>
        <w:rPr>
          <w:rFonts w:ascii="Arial" w:hAnsi="Arial" w:cs="Arial"/>
        </w:rPr>
      </w:pPr>
    </w:p>
    <w:p w14:paraId="6A9FF933" w14:textId="77777777" w:rsidR="00EC426A" w:rsidRDefault="00EC426A" w:rsidP="00A65924">
      <w:pPr>
        <w:pStyle w:val="Header"/>
        <w:tabs>
          <w:tab w:val="clear" w:pos="4320"/>
          <w:tab w:val="clear" w:pos="8640"/>
        </w:tabs>
        <w:jc w:val="both"/>
        <w:rPr>
          <w:rFonts w:ascii="Arial" w:hAnsi="Arial" w:cs="Arial"/>
        </w:rPr>
      </w:pPr>
    </w:p>
    <w:p w14:paraId="1627F9AA" w14:textId="77777777" w:rsidR="00EC426A" w:rsidRDefault="00EC426A" w:rsidP="00A65924">
      <w:pPr>
        <w:pStyle w:val="Header"/>
        <w:tabs>
          <w:tab w:val="clear" w:pos="4320"/>
          <w:tab w:val="clear" w:pos="8640"/>
        </w:tabs>
        <w:jc w:val="both"/>
        <w:rPr>
          <w:rFonts w:ascii="Arial" w:hAnsi="Arial" w:cs="Arial"/>
        </w:rPr>
      </w:pPr>
    </w:p>
    <w:p w14:paraId="16A1A3F6" w14:textId="77777777" w:rsidR="00EC426A" w:rsidRDefault="00EC426A" w:rsidP="00A65924">
      <w:pPr>
        <w:pStyle w:val="Header"/>
        <w:tabs>
          <w:tab w:val="clear" w:pos="4320"/>
          <w:tab w:val="clear" w:pos="8640"/>
        </w:tabs>
        <w:jc w:val="both"/>
        <w:rPr>
          <w:rFonts w:ascii="Arial" w:hAnsi="Arial" w:cs="Arial"/>
        </w:rPr>
      </w:pPr>
    </w:p>
    <w:p w14:paraId="521BC67E" w14:textId="16BBF072" w:rsidR="00EC426A" w:rsidRDefault="00EC426A" w:rsidP="00A65924">
      <w:pPr>
        <w:pStyle w:val="Header"/>
        <w:tabs>
          <w:tab w:val="clear" w:pos="4320"/>
          <w:tab w:val="clear" w:pos="8640"/>
        </w:tabs>
        <w:jc w:val="both"/>
        <w:rPr>
          <w:rFonts w:ascii="Arial" w:hAnsi="Arial" w:cs="Arial"/>
        </w:rPr>
      </w:pPr>
    </w:p>
    <w:p w14:paraId="43040FBE" w14:textId="0DDCCD0F" w:rsidR="002727A2" w:rsidRDefault="002727A2" w:rsidP="00A65924">
      <w:pPr>
        <w:pStyle w:val="Header"/>
        <w:tabs>
          <w:tab w:val="clear" w:pos="4320"/>
          <w:tab w:val="clear" w:pos="8640"/>
        </w:tabs>
        <w:jc w:val="both"/>
        <w:rPr>
          <w:rFonts w:ascii="Arial" w:hAnsi="Arial" w:cs="Arial"/>
        </w:rPr>
      </w:pPr>
    </w:p>
    <w:p w14:paraId="6AB3748A" w14:textId="018AC5E7" w:rsidR="002727A2" w:rsidRDefault="002727A2" w:rsidP="00A65924">
      <w:pPr>
        <w:pStyle w:val="Header"/>
        <w:tabs>
          <w:tab w:val="clear" w:pos="4320"/>
          <w:tab w:val="clear" w:pos="8640"/>
        </w:tabs>
        <w:jc w:val="both"/>
        <w:rPr>
          <w:rFonts w:ascii="Arial" w:hAnsi="Arial" w:cs="Arial"/>
        </w:rPr>
      </w:pPr>
    </w:p>
    <w:p w14:paraId="43D6D462" w14:textId="239E868D" w:rsidR="002727A2" w:rsidRDefault="002727A2" w:rsidP="00A65924">
      <w:pPr>
        <w:pStyle w:val="Header"/>
        <w:tabs>
          <w:tab w:val="clear" w:pos="4320"/>
          <w:tab w:val="clear" w:pos="8640"/>
        </w:tabs>
        <w:jc w:val="both"/>
        <w:rPr>
          <w:rFonts w:ascii="Arial" w:hAnsi="Arial" w:cs="Arial"/>
        </w:rPr>
      </w:pPr>
    </w:p>
    <w:p w14:paraId="139C9116" w14:textId="7876C5DE" w:rsidR="002727A2" w:rsidRDefault="002727A2" w:rsidP="00A65924">
      <w:pPr>
        <w:pStyle w:val="Header"/>
        <w:tabs>
          <w:tab w:val="clear" w:pos="4320"/>
          <w:tab w:val="clear" w:pos="8640"/>
        </w:tabs>
        <w:jc w:val="both"/>
        <w:rPr>
          <w:rFonts w:ascii="Arial" w:hAnsi="Arial" w:cs="Arial"/>
        </w:rPr>
      </w:pPr>
    </w:p>
    <w:p w14:paraId="7F91BD6C" w14:textId="151CC81B" w:rsidR="002727A2" w:rsidRDefault="002727A2" w:rsidP="00A65924">
      <w:pPr>
        <w:pStyle w:val="Header"/>
        <w:tabs>
          <w:tab w:val="clear" w:pos="4320"/>
          <w:tab w:val="clear" w:pos="8640"/>
        </w:tabs>
        <w:jc w:val="both"/>
        <w:rPr>
          <w:rFonts w:ascii="Arial" w:hAnsi="Arial" w:cs="Arial"/>
        </w:rPr>
      </w:pPr>
    </w:p>
    <w:p w14:paraId="0C356EA1" w14:textId="77777777" w:rsidR="002727A2" w:rsidRDefault="002727A2" w:rsidP="00A65924">
      <w:pPr>
        <w:pStyle w:val="Header"/>
        <w:tabs>
          <w:tab w:val="clear" w:pos="4320"/>
          <w:tab w:val="clear" w:pos="8640"/>
        </w:tabs>
        <w:jc w:val="both"/>
        <w:rPr>
          <w:rFonts w:ascii="Arial" w:hAnsi="Arial" w:cs="Arial"/>
        </w:rPr>
      </w:pPr>
    </w:p>
    <w:p w14:paraId="26554AA7" w14:textId="0D2FCEF5" w:rsidR="002727A2" w:rsidRDefault="002727A2">
      <w:pPr>
        <w:rPr>
          <w:rFonts w:ascii="Arial" w:eastAsia="Times New Roman" w:hAnsi="Arial" w:cs="Arial"/>
        </w:rPr>
      </w:pPr>
    </w:p>
    <w:p w14:paraId="10871C3F" w14:textId="77777777" w:rsidR="00794F91" w:rsidRPr="00BA745F" w:rsidRDefault="00794F91" w:rsidP="008A7A95">
      <w:pPr>
        <w:pStyle w:val="Header"/>
        <w:tabs>
          <w:tab w:val="clear" w:pos="4320"/>
          <w:tab w:val="clear" w:pos="8640"/>
        </w:tabs>
        <w:jc w:val="both"/>
        <w:rPr>
          <w:b/>
          <w:snapToGrid w:val="0"/>
        </w:rPr>
      </w:pPr>
    </w:p>
    <w:sectPr w:rsidR="00794F91" w:rsidRPr="00BA745F" w:rsidSect="00E952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6A58" w14:textId="77777777" w:rsidR="006C09E8" w:rsidRDefault="006C09E8" w:rsidP="00A07FA5">
      <w:r>
        <w:separator/>
      </w:r>
    </w:p>
  </w:endnote>
  <w:endnote w:type="continuationSeparator" w:id="0">
    <w:p w14:paraId="3C533D3F" w14:textId="77777777" w:rsidR="006C09E8" w:rsidRDefault="006C09E8" w:rsidP="00A0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53E0" w14:textId="77777777" w:rsidR="00C529E5" w:rsidRDefault="00C5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9079"/>
      <w:docPartObj>
        <w:docPartGallery w:val="Page Numbers (Bottom of Page)"/>
        <w:docPartUnique/>
      </w:docPartObj>
    </w:sdtPr>
    <w:sdtContent>
      <w:p w14:paraId="1FE339BA" w14:textId="77777777" w:rsidR="00C529E5" w:rsidRDefault="00C529E5">
        <w:pPr>
          <w:pStyle w:val="Footer"/>
          <w:jc w:val="right"/>
        </w:pPr>
      </w:p>
      <w:p w14:paraId="6B2A6052" w14:textId="77777777" w:rsidR="00C529E5" w:rsidRDefault="00C529E5">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53BE1C21" w14:textId="77777777" w:rsidR="00C529E5" w:rsidRDefault="00C529E5" w:rsidP="00B774A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3583"/>
      <w:docPartObj>
        <w:docPartGallery w:val="Page Numbers (Bottom of Page)"/>
        <w:docPartUnique/>
      </w:docPartObj>
    </w:sdtPr>
    <w:sdtContent>
      <w:p w14:paraId="4C96C635" w14:textId="77777777" w:rsidR="00C529E5" w:rsidRDefault="00C529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F3EB233" w14:textId="77777777" w:rsidR="00C529E5" w:rsidRDefault="00C5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8A89" w14:textId="77777777" w:rsidR="006C09E8" w:rsidRDefault="006C09E8" w:rsidP="00A07FA5">
      <w:r>
        <w:separator/>
      </w:r>
    </w:p>
  </w:footnote>
  <w:footnote w:type="continuationSeparator" w:id="0">
    <w:p w14:paraId="3F9D8A10" w14:textId="77777777" w:rsidR="006C09E8" w:rsidRDefault="006C09E8" w:rsidP="00A0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5220" w14:textId="77777777" w:rsidR="00C529E5" w:rsidRDefault="00C5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AB0C" w14:textId="77777777" w:rsidR="00C529E5" w:rsidRDefault="00C5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4546" w14:textId="77777777" w:rsidR="00C529E5" w:rsidRDefault="00C5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2A"/>
    <w:multiLevelType w:val="hybridMultilevel"/>
    <w:tmpl w:val="F4AC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359A"/>
    <w:multiLevelType w:val="hybridMultilevel"/>
    <w:tmpl w:val="364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88C"/>
    <w:multiLevelType w:val="hybridMultilevel"/>
    <w:tmpl w:val="D7A2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5CBE"/>
    <w:multiLevelType w:val="hybridMultilevel"/>
    <w:tmpl w:val="43C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38A7"/>
    <w:multiLevelType w:val="hybridMultilevel"/>
    <w:tmpl w:val="19A4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42E62"/>
    <w:multiLevelType w:val="hybridMultilevel"/>
    <w:tmpl w:val="6B66BD62"/>
    <w:lvl w:ilvl="0" w:tplc="F836F414">
      <w:numFmt w:val="bullet"/>
      <w:lvlText w:val=""/>
      <w:lvlJc w:val="left"/>
      <w:pPr>
        <w:ind w:left="720" w:hanging="360"/>
      </w:pPr>
      <w:rPr>
        <w:rFonts w:ascii="Symbol" w:eastAsia="Calibr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B5CEA"/>
    <w:multiLevelType w:val="hybridMultilevel"/>
    <w:tmpl w:val="96744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59527B"/>
    <w:multiLevelType w:val="hybridMultilevel"/>
    <w:tmpl w:val="1880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1CB5"/>
    <w:multiLevelType w:val="hybridMultilevel"/>
    <w:tmpl w:val="4830C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FF31B6"/>
    <w:multiLevelType w:val="hybridMultilevel"/>
    <w:tmpl w:val="B490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626CA"/>
    <w:multiLevelType w:val="hybridMultilevel"/>
    <w:tmpl w:val="B6EC0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25D33"/>
    <w:multiLevelType w:val="hybridMultilevel"/>
    <w:tmpl w:val="64E2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83FE9"/>
    <w:multiLevelType w:val="hybridMultilevel"/>
    <w:tmpl w:val="C91498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9028F4"/>
    <w:multiLevelType w:val="hybridMultilevel"/>
    <w:tmpl w:val="3E92EF94"/>
    <w:lvl w:ilvl="0" w:tplc="ECECA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61C0A"/>
    <w:multiLevelType w:val="hybridMultilevel"/>
    <w:tmpl w:val="B3A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8187C"/>
    <w:multiLevelType w:val="hybridMultilevel"/>
    <w:tmpl w:val="DAFA2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C43340"/>
    <w:multiLevelType w:val="hybridMultilevel"/>
    <w:tmpl w:val="BF2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46B8"/>
    <w:multiLevelType w:val="hybridMultilevel"/>
    <w:tmpl w:val="8252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097641">
    <w:abstractNumId w:val="5"/>
  </w:num>
  <w:num w:numId="2" w16cid:durableId="1321426962">
    <w:abstractNumId w:val="8"/>
  </w:num>
  <w:num w:numId="3" w16cid:durableId="371223525">
    <w:abstractNumId w:val="4"/>
  </w:num>
  <w:num w:numId="4" w16cid:durableId="1809980726">
    <w:abstractNumId w:val="16"/>
  </w:num>
  <w:num w:numId="5" w16cid:durableId="1329290485">
    <w:abstractNumId w:val="0"/>
  </w:num>
  <w:num w:numId="6" w16cid:durableId="2085834186">
    <w:abstractNumId w:val="14"/>
  </w:num>
  <w:num w:numId="7" w16cid:durableId="854686921">
    <w:abstractNumId w:val="9"/>
  </w:num>
  <w:num w:numId="8" w16cid:durableId="1095974028">
    <w:abstractNumId w:val="7"/>
  </w:num>
  <w:num w:numId="9" w16cid:durableId="1542093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964920">
    <w:abstractNumId w:val="12"/>
  </w:num>
  <w:num w:numId="11" w16cid:durableId="1520315608">
    <w:abstractNumId w:val="1"/>
  </w:num>
  <w:num w:numId="12" w16cid:durableId="865026214">
    <w:abstractNumId w:val="6"/>
  </w:num>
  <w:num w:numId="13" w16cid:durableId="953172644">
    <w:abstractNumId w:val="2"/>
  </w:num>
  <w:num w:numId="14" w16cid:durableId="108547937">
    <w:abstractNumId w:val="17"/>
  </w:num>
  <w:num w:numId="15" w16cid:durableId="1159928827">
    <w:abstractNumId w:val="13"/>
  </w:num>
  <w:num w:numId="16" w16cid:durableId="1152019235">
    <w:abstractNumId w:val="11"/>
  </w:num>
  <w:num w:numId="17" w16cid:durableId="796607836">
    <w:abstractNumId w:val="10"/>
  </w:num>
  <w:num w:numId="18" w16cid:durableId="959800479">
    <w:abstractNumId w:val="15"/>
  </w:num>
  <w:num w:numId="19" w16cid:durableId="1573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F4"/>
    <w:rsid w:val="00012EAA"/>
    <w:rsid w:val="00015904"/>
    <w:rsid w:val="0001622C"/>
    <w:rsid w:val="00021A36"/>
    <w:rsid w:val="00023E5C"/>
    <w:rsid w:val="00036BA2"/>
    <w:rsid w:val="000440B3"/>
    <w:rsid w:val="00053B36"/>
    <w:rsid w:val="00054411"/>
    <w:rsid w:val="00061355"/>
    <w:rsid w:val="000639FA"/>
    <w:rsid w:val="00065908"/>
    <w:rsid w:val="00072698"/>
    <w:rsid w:val="00075DED"/>
    <w:rsid w:val="000819FC"/>
    <w:rsid w:val="00084911"/>
    <w:rsid w:val="0008546C"/>
    <w:rsid w:val="00092FA8"/>
    <w:rsid w:val="000A0D65"/>
    <w:rsid w:val="000A1501"/>
    <w:rsid w:val="000A731E"/>
    <w:rsid w:val="000B7A3C"/>
    <w:rsid w:val="000C1B4A"/>
    <w:rsid w:val="000C76C5"/>
    <w:rsid w:val="000D2C09"/>
    <w:rsid w:val="000D2DC6"/>
    <w:rsid w:val="000D585B"/>
    <w:rsid w:val="000E4853"/>
    <w:rsid w:val="000E4B91"/>
    <w:rsid w:val="000F43DA"/>
    <w:rsid w:val="000F5BAF"/>
    <w:rsid w:val="001110D9"/>
    <w:rsid w:val="001144FB"/>
    <w:rsid w:val="00116D3A"/>
    <w:rsid w:val="00117909"/>
    <w:rsid w:val="00123FE6"/>
    <w:rsid w:val="00124F07"/>
    <w:rsid w:val="00130DAD"/>
    <w:rsid w:val="00133609"/>
    <w:rsid w:val="00133C58"/>
    <w:rsid w:val="00134C42"/>
    <w:rsid w:val="00140DC2"/>
    <w:rsid w:val="00146516"/>
    <w:rsid w:val="00156B31"/>
    <w:rsid w:val="001621FF"/>
    <w:rsid w:val="00162DE3"/>
    <w:rsid w:val="0017738C"/>
    <w:rsid w:val="0018009D"/>
    <w:rsid w:val="0018196A"/>
    <w:rsid w:val="00181D6D"/>
    <w:rsid w:val="00182398"/>
    <w:rsid w:val="001826C7"/>
    <w:rsid w:val="0018344F"/>
    <w:rsid w:val="001A17E3"/>
    <w:rsid w:val="001A180F"/>
    <w:rsid w:val="001A2F9E"/>
    <w:rsid w:val="001A48E5"/>
    <w:rsid w:val="001C00E9"/>
    <w:rsid w:val="001C78AF"/>
    <w:rsid w:val="001D4326"/>
    <w:rsid w:val="001E7DE4"/>
    <w:rsid w:val="001F161D"/>
    <w:rsid w:val="001F5963"/>
    <w:rsid w:val="001F5A2F"/>
    <w:rsid w:val="001F6CC4"/>
    <w:rsid w:val="00227FA0"/>
    <w:rsid w:val="00232459"/>
    <w:rsid w:val="00242274"/>
    <w:rsid w:val="00244E53"/>
    <w:rsid w:val="002510E7"/>
    <w:rsid w:val="00252653"/>
    <w:rsid w:val="00253054"/>
    <w:rsid w:val="002573B0"/>
    <w:rsid w:val="00260BDF"/>
    <w:rsid w:val="00263F16"/>
    <w:rsid w:val="00271E9E"/>
    <w:rsid w:val="002727A2"/>
    <w:rsid w:val="00273E87"/>
    <w:rsid w:val="00276987"/>
    <w:rsid w:val="00280A59"/>
    <w:rsid w:val="00281A91"/>
    <w:rsid w:val="00281D94"/>
    <w:rsid w:val="00282A9C"/>
    <w:rsid w:val="00287504"/>
    <w:rsid w:val="002A2820"/>
    <w:rsid w:val="002B032C"/>
    <w:rsid w:val="002B1214"/>
    <w:rsid w:val="002B5C3A"/>
    <w:rsid w:val="002B7840"/>
    <w:rsid w:val="002C23C7"/>
    <w:rsid w:val="002C25A6"/>
    <w:rsid w:val="002C435E"/>
    <w:rsid w:val="002C44BB"/>
    <w:rsid w:val="002C72CC"/>
    <w:rsid w:val="002D40C2"/>
    <w:rsid w:val="002F1224"/>
    <w:rsid w:val="00306DA8"/>
    <w:rsid w:val="003073B3"/>
    <w:rsid w:val="00315EF4"/>
    <w:rsid w:val="00317CE2"/>
    <w:rsid w:val="00325C7A"/>
    <w:rsid w:val="00326093"/>
    <w:rsid w:val="00331FD6"/>
    <w:rsid w:val="003328FA"/>
    <w:rsid w:val="0033291B"/>
    <w:rsid w:val="00333A47"/>
    <w:rsid w:val="003455B2"/>
    <w:rsid w:val="003455D2"/>
    <w:rsid w:val="0034580B"/>
    <w:rsid w:val="003619A5"/>
    <w:rsid w:val="00366F1A"/>
    <w:rsid w:val="00374B82"/>
    <w:rsid w:val="00381FA5"/>
    <w:rsid w:val="0038416E"/>
    <w:rsid w:val="00386002"/>
    <w:rsid w:val="0038674E"/>
    <w:rsid w:val="003919AE"/>
    <w:rsid w:val="003963D2"/>
    <w:rsid w:val="003B3D20"/>
    <w:rsid w:val="003B5E92"/>
    <w:rsid w:val="003C0911"/>
    <w:rsid w:val="003C5B89"/>
    <w:rsid w:val="003E03C8"/>
    <w:rsid w:val="003E08EF"/>
    <w:rsid w:val="003E25D3"/>
    <w:rsid w:val="003E2B34"/>
    <w:rsid w:val="003F5ACB"/>
    <w:rsid w:val="004000B2"/>
    <w:rsid w:val="00402198"/>
    <w:rsid w:val="0040619F"/>
    <w:rsid w:val="00407355"/>
    <w:rsid w:val="00413073"/>
    <w:rsid w:val="0041477A"/>
    <w:rsid w:val="00423C09"/>
    <w:rsid w:val="00425122"/>
    <w:rsid w:val="004254AE"/>
    <w:rsid w:val="00425E34"/>
    <w:rsid w:val="0043123E"/>
    <w:rsid w:val="00440580"/>
    <w:rsid w:val="00443A93"/>
    <w:rsid w:val="00445EC8"/>
    <w:rsid w:val="00451724"/>
    <w:rsid w:val="004567EE"/>
    <w:rsid w:val="00457B9A"/>
    <w:rsid w:val="00461223"/>
    <w:rsid w:val="00462B07"/>
    <w:rsid w:val="00464304"/>
    <w:rsid w:val="004651CD"/>
    <w:rsid w:val="00467F91"/>
    <w:rsid w:val="004767D0"/>
    <w:rsid w:val="00483EA6"/>
    <w:rsid w:val="00483F09"/>
    <w:rsid w:val="00485D59"/>
    <w:rsid w:val="00486EE3"/>
    <w:rsid w:val="00490C09"/>
    <w:rsid w:val="004942F6"/>
    <w:rsid w:val="004946D7"/>
    <w:rsid w:val="004A1772"/>
    <w:rsid w:val="004B5F01"/>
    <w:rsid w:val="004C192D"/>
    <w:rsid w:val="004C4B12"/>
    <w:rsid w:val="004C5627"/>
    <w:rsid w:val="004D1C3C"/>
    <w:rsid w:val="004E1DC8"/>
    <w:rsid w:val="004E3B51"/>
    <w:rsid w:val="004E3BD6"/>
    <w:rsid w:val="004E5843"/>
    <w:rsid w:val="004F238B"/>
    <w:rsid w:val="004F6C2A"/>
    <w:rsid w:val="004F6CFF"/>
    <w:rsid w:val="004F7E25"/>
    <w:rsid w:val="005007A7"/>
    <w:rsid w:val="00503940"/>
    <w:rsid w:val="005045FC"/>
    <w:rsid w:val="00515205"/>
    <w:rsid w:val="0052113F"/>
    <w:rsid w:val="0052185E"/>
    <w:rsid w:val="00521EC3"/>
    <w:rsid w:val="005243FA"/>
    <w:rsid w:val="00527DF8"/>
    <w:rsid w:val="00531830"/>
    <w:rsid w:val="00531CC6"/>
    <w:rsid w:val="00533D8C"/>
    <w:rsid w:val="00536E65"/>
    <w:rsid w:val="005404A6"/>
    <w:rsid w:val="005410A9"/>
    <w:rsid w:val="005441E8"/>
    <w:rsid w:val="005456E3"/>
    <w:rsid w:val="00545A1B"/>
    <w:rsid w:val="00546DEA"/>
    <w:rsid w:val="0055749C"/>
    <w:rsid w:val="005575C7"/>
    <w:rsid w:val="005606F1"/>
    <w:rsid w:val="00561A09"/>
    <w:rsid w:val="00571EFB"/>
    <w:rsid w:val="0059168E"/>
    <w:rsid w:val="005922B5"/>
    <w:rsid w:val="005A03D1"/>
    <w:rsid w:val="005A32DA"/>
    <w:rsid w:val="005B4E64"/>
    <w:rsid w:val="005B7564"/>
    <w:rsid w:val="005C3916"/>
    <w:rsid w:val="005C60D8"/>
    <w:rsid w:val="005C664A"/>
    <w:rsid w:val="005D242F"/>
    <w:rsid w:val="005D6AE0"/>
    <w:rsid w:val="005E2D1B"/>
    <w:rsid w:val="005E41D1"/>
    <w:rsid w:val="005E67D2"/>
    <w:rsid w:val="005E6DE7"/>
    <w:rsid w:val="005F40B2"/>
    <w:rsid w:val="005F5F8A"/>
    <w:rsid w:val="006005CB"/>
    <w:rsid w:val="00602514"/>
    <w:rsid w:val="00610595"/>
    <w:rsid w:val="00613E89"/>
    <w:rsid w:val="006153C9"/>
    <w:rsid w:val="00615B66"/>
    <w:rsid w:val="00621649"/>
    <w:rsid w:val="0062252E"/>
    <w:rsid w:val="006429F7"/>
    <w:rsid w:val="00644247"/>
    <w:rsid w:val="0064624A"/>
    <w:rsid w:val="006527D5"/>
    <w:rsid w:val="00652D1F"/>
    <w:rsid w:val="006551FA"/>
    <w:rsid w:val="006608A3"/>
    <w:rsid w:val="006618EC"/>
    <w:rsid w:val="00664E34"/>
    <w:rsid w:val="006729D3"/>
    <w:rsid w:val="006751A5"/>
    <w:rsid w:val="0067763D"/>
    <w:rsid w:val="00693B59"/>
    <w:rsid w:val="00694C37"/>
    <w:rsid w:val="006A2602"/>
    <w:rsid w:val="006B1112"/>
    <w:rsid w:val="006C09E8"/>
    <w:rsid w:val="006C2B2F"/>
    <w:rsid w:val="006C54F4"/>
    <w:rsid w:val="006C606F"/>
    <w:rsid w:val="006C6169"/>
    <w:rsid w:val="006C62DD"/>
    <w:rsid w:val="006C6BE9"/>
    <w:rsid w:val="006C6D27"/>
    <w:rsid w:val="006D39DA"/>
    <w:rsid w:val="006D3A2E"/>
    <w:rsid w:val="006E0B9E"/>
    <w:rsid w:val="006E3BF3"/>
    <w:rsid w:val="006F10BE"/>
    <w:rsid w:val="006F679B"/>
    <w:rsid w:val="006F734F"/>
    <w:rsid w:val="007253EB"/>
    <w:rsid w:val="00742620"/>
    <w:rsid w:val="00751501"/>
    <w:rsid w:val="0076021B"/>
    <w:rsid w:val="00764911"/>
    <w:rsid w:val="00770101"/>
    <w:rsid w:val="00782F5F"/>
    <w:rsid w:val="0078385D"/>
    <w:rsid w:val="00784EE0"/>
    <w:rsid w:val="00786804"/>
    <w:rsid w:val="0079140A"/>
    <w:rsid w:val="007916F0"/>
    <w:rsid w:val="00794F91"/>
    <w:rsid w:val="00797B3C"/>
    <w:rsid w:val="007B1F4A"/>
    <w:rsid w:val="007B593A"/>
    <w:rsid w:val="007C0647"/>
    <w:rsid w:val="007C2745"/>
    <w:rsid w:val="007C7B2E"/>
    <w:rsid w:val="007D021E"/>
    <w:rsid w:val="007D7D1C"/>
    <w:rsid w:val="007E3114"/>
    <w:rsid w:val="007E6869"/>
    <w:rsid w:val="007F30B9"/>
    <w:rsid w:val="007F6D30"/>
    <w:rsid w:val="007F724F"/>
    <w:rsid w:val="00801003"/>
    <w:rsid w:val="00802CB2"/>
    <w:rsid w:val="00813220"/>
    <w:rsid w:val="00821E43"/>
    <w:rsid w:val="008449AC"/>
    <w:rsid w:val="0085290E"/>
    <w:rsid w:val="00856369"/>
    <w:rsid w:val="00856A1F"/>
    <w:rsid w:val="00861CFD"/>
    <w:rsid w:val="00864C77"/>
    <w:rsid w:val="0086527B"/>
    <w:rsid w:val="00866C7E"/>
    <w:rsid w:val="00867931"/>
    <w:rsid w:val="0087199E"/>
    <w:rsid w:val="00875C57"/>
    <w:rsid w:val="00877319"/>
    <w:rsid w:val="00877CF6"/>
    <w:rsid w:val="0088409F"/>
    <w:rsid w:val="00884FFD"/>
    <w:rsid w:val="0089270B"/>
    <w:rsid w:val="008A2850"/>
    <w:rsid w:val="008A4D1C"/>
    <w:rsid w:val="008A7A95"/>
    <w:rsid w:val="008A7D41"/>
    <w:rsid w:val="008C310C"/>
    <w:rsid w:val="008E36E9"/>
    <w:rsid w:val="008F267F"/>
    <w:rsid w:val="008F352A"/>
    <w:rsid w:val="008F6EE7"/>
    <w:rsid w:val="0090093F"/>
    <w:rsid w:val="0090122C"/>
    <w:rsid w:val="00903627"/>
    <w:rsid w:val="00926720"/>
    <w:rsid w:val="00942E1F"/>
    <w:rsid w:val="00944FE1"/>
    <w:rsid w:val="009471A7"/>
    <w:rsid w:val="00952DC5"/>
    <w:rsid w:val="00954298"/>
    <w:rsid w:val="00957E86"/>
    <w:rsid w:val="0096028A"/>
    <w:rsid w:val="00970FF1"/>
    <w:rsid w:val="0097353A"/>
    <w:rsid w:val="0097751C"/>
    <w:rsid w:val="0098139F"/>
    <w:rsid w:val="0098170E"/>
    <w:rsid w:val="0098304A"/>
    <w:rsid w:val="00987022"/>
    <w:rsid w:val="00992F75"/>
    <w:rsid w:val="00996E5F"/>
    <w:rsid w:val="009A286A"/>
    <w:rsid w:val="009B2ADB"/>
    <w:rsid w:val="009B411B"/>
    <w:rsid w:val="009B47C3"/>
    <w:rsid w:val="009C07CD"/>
    <w:rsid w:val="009C0C99"/>
    <w:rsid w:val="009C15B1"/>
    <w:rsid w:val="009D1822"/>
    <w:rsid w:val="009D58F9"/>
    <w:rsid w:val="009D655F"/>
    <w:rsid w:val="009E12AB"/>
    <w:rsid w:val="009F7B5E"/>
    <w:rsid w:val="00A00F2B"/>
    <w:rsid w:val="00A071A2"/>
    <w:rsid w:val="00A07FA5"/>
    <w:rsid w:val="00A20308"/>
    <w:rsid w:val="00A21104"/>
    <w:rsid w:val="00A2232C"/>
    <w:rsid w:val="00A23209"/>
    <w:rsid w:val="00A261B5"/>
    <w:rsid w:val="00A31A12"/>
    <w:rsid w:val="00A330B6"/>
    <w:rsid w:val="00A42FCE"/>
    <w:rsid w:val="00A65924"/>
    <w:rsid w:val="00A728FC"/>
    <w:rsid w:val="00A805B7"/>
    <w:rsid w:val="00A8100D"/>
    <w:rsid w:val="00A92A9D"/>
    <w:rsid w:val="00A9542F"/>
    <w:rsid w:val="00A96EFA"/>
    <w:rsid w:val="00AA1581"/>
    <w:rsid w:val="00AA3526"/>
    <w:rsid w:val="00AB10D9"/>
    <w:rsid w:val="00AB522C"/>
    <w:rsid w:val="00AB5C10"/>
    <w:rsid w:val="00AC5D8F"/>
    <w:rsid w:val="00AC78B0"/>
    <w:rsid w:val="00AD68D8"/>
    <w:rsid w:val="00AD7878"/>
    <w:rsid w:val="00AE0867"/>
    <w:rsid w:val="00AE20DA"/>
    <w:rsid w:val="00AE756A"/>
    <w:rsid w:val="00AF7AFE"/>
    <w:rsid w:val="00B01CC6"/>
    <w:rsid w:val="00B0432D"/>
    <w:rsid w:val="00B05259"/>
    <w:rsid w:val="00B06B5D"/>
    <w:rsid w:val="00B2135B"/>
    <w:rsid w:val="00B217DC"/>
    <w:rsid w:val="00B23D5D"/>
    <w:rsid w:val="00B31414"/>
    <w:rsid w:val="00B32B31"/>
    <w:rsid w:val="00B34916"/>
    <w:rsid w:val="00B35C4F"/>
    <w:rsid w:val="00B37684"/>
    <w:rsid w:val="00B414F8"/>
    <w:rsid w:val="00B421F8"/>
    <w:rsid w:val="00B50637"/>
    <w:rsid w:val="00B5466E"/>
    <w:rsid w:val="00B54FA4"/>
    <w:rsid w:val="00B62CFF"/>
    <w:rsid w:val="00B64CFA"/>
    <w:rsid w:val="00B65B7B"/>
    <w:rsid w:val="00B66665"/>
    <w:rsid w:val="00B705E3"/>
    <w:rsid w:val="00B71570"/>
    <w:rsid w:val="00B774A1"/>
    <w:rsid w:val="00B856BA"/>
    <w:rsid w:val="00B94B5B"/>
    <w:rsid w:val="00B97EF0"/>
    <w:rsid w:val="00BA099D"/>
    <w:rsid w:val="00BA745F"/>
    <w:rsid w:val="00BB0987"/>
    <w:rsid w:val="00BB1B60"/>
    <w:rsid w:val="00BC2915"/>
    <w:rsid w:val="00BC29B7"/>
    <w:rsid w:val="00BD11F4"/>
    <w:rsid w:val="00BD17BE"/>
    <w:rsid w:val="00BD5065"/>
    <w:rsid w:val="00BE5FE9"/>
    <w:rsid w:val="00BE74AE"/>
    <w:rsid w:val="00BE7F53"/>
    <w:rsid w:val="00BF28F7"/>
    <w:rsid w:val="00BF310C"/>
    <w:rsid w:val="00BF436B"/>
    <w:rsid w:val="00BF50D6"/>
    <w:rsid w:val="00C01031"/>
    <w:rsid w:val="00C058EB"/>
    <w:rsid w:val="00C06284"/>
    <w:rsid w:val="00C072E5"/>
    <w:rsid w:val="00C124F6"/>
    <w:rsid w:val="00C1390E"/>
    <w:rsid w:val="00C15AFA"/>
    <w:rsid w:val="00C1624A"/>
    <w:rsid w:val="00C200F9"/>
    <w:rsid w:val="00C21612"/>
    <w:rsid w:val="00C31106"/>
    <w:rsid w:val="00C33018"/>
    <w:rsid w:val="00C35738"/>
    <w:rsid w:val="00C401E2"/>
    <w:rsid w:val="00C46CBD"/>
    <w:rsid w:val="00C529E5"/>
    <w:rsid w:val="00C53687"/>
    <w:rsid w:val="00C57F30"/>
    <w:rsid w:val="00C62F7A"/>
    <w:rsid w:val="00C74BB4"/>
    <w:rsid w:val="00C800D1"/>
    <w:rsid w:val="00C81F52"/>
    <w:rsid w:val="00C856BB"/>
    <w:rsid w:val="00CA408D"/>
    <w:rsid w:val="00CB3A16"/>
    <w:rsid w:val="00CB6A06"/>
    <w:rsid w:val="00CC2F09"/>
    <w:rsid w:val="00CC39AF"/>
    <w:rsid w:val="00CC7467"/>
    <w:rsid w:val="00CE6F0C"/>
    <w:rsid w:val="00CE7FDD"/>
    <w:rsid w:val="00CF172D"/>
    <w:rsid w:val="00CF5C12"/>
    <w:rsid w:val="00D00509"/>
    <w:rsid w:val="00D07567"/>
    <w:rsid w:val="00D12416"/>
    <w:rsid w:val="00D15D2B"/>
    <w:rsid w:val="00D15E8A"/>
    <w:rsid w:val="00D22B79"/>
    <w:rsid w:val="00D352DE"/>
    <w:rsid w:val="00D35BC4"/>
    <w:rsid w:val="00D3716D"/>
    <w:rsid w:val="00D3721A"/>
    <w:rsid w:val="00D41C7A"/>
    <w:rsid w:val="00D4277F"/>
    <w:rsid w:val="00D44E0B"/>
    <w:rsid w:val="00D4645E"/>
    <w:rsid w:val="00D520FC"/>
    <w:rsid w:val="00D551C6"/>
    <w:rsid w:val="00D60212"/>
    <w:rsid w:val="00D61500"/>
    <w:rsid w:val="00D7316E"/>
    <w:rsid w:val="00D73FC6"/>
    <w:rsid w:val="00D9167B"/>
    <w:rsid w:val="00D91864"/>
    <w:rsid w:val="00D95BEE"/>
    <w:rsid w:val="00DA6B08"/>
    <w:rsid w:val="00DB20BD"/>
    <w:rsid w:val="00DC3085"/>
    <w:rsid w:val="00DC5743"/>
    <w:rsid w:val="00DD2017"/>
    <w:rsid w:val="00DD4864"/>
    <w:rsid w:val="00DD609A"/>
    <w:rsid w:val="00DE0981"/>
    <w:rsid w:val="00DE4A7D"/>
    <w:rsid w:val="00DF003D"/>
    <w:rsid w:val="00DF1433"/>
    <w:rsid w:val="00DF1F0E"/>
    <w:rsid w:val="00DF621B"/>
    <w:rsid w:val="00E07108"/>
    <w:rsid w:val="00E122EE"/>
    <w:rsid w:val="00E13F65"/>
    <w:rsid w:val="00E36A1F"/>
    <w:rsid w:val="00E43618"/>
    <w:rsid w:val="00E45F59"/>
    <w:rsid w:val="00E53E39"/>
    <w:rsid w:val="00E53EAA"/>
    <w:rsid w:val="00E543D4"/>
    <w:rsid w:val="00E57F7F"/>
    <w:rsid w:val="00E679C7"/>
    <w:rsid w:val="00E71765"/>
    <w:rsid w:val="00E8428C"/>
    <w:rsid w:val="00E95207"/>
    <w:rsid w:val="00E968BD"/>
    <w:rsid w:val="00EA2BBC"/>
    <w:rsid w:val="00EB3FF8"/>
    <w:rsid w:val="00EB48E4"/>
    <w:rsid w:val="00EB5506"/>
    <w:rsid w:val="00EC426A"/>
    <w:rsid w:val="00ED7F6D"/>
    <w:rsid w:val="00EE2C61"/>
    <w:rsid w:val="00EE5461"/>
    <w:rsid w:val="00EE5818"/>
    <w:rsid w:val="00EF278E"/>
    <w:rsid w:val="00EF3655"/>
    <w:rsid w:val="00EF4E3C"/>
    <w:rsid w:val="00EF7856"/>
    <w:rsid w:val="00F0158B"/>
    <w:rsid w:val="00F055D4"/>
    <w:rsid w:val="00F13F4B"/>
    <w:rsid w:val="00F153EF"/>
    <w:rsid w:val="00F15A5F"/>
    <w:rsid w:val="00F21FA5"/>
    <w:rsid w:val="00F27D06"/>
    <w:rsid w:val="00F34EED"/>
    <w:rsid w:val="00F3697A"/>
    <w:rsid w:val="00F50755"/>
    <w:rsid w:val="00F5582D"/>
    <w:rsid w:val="00F56048"/>
    <w:rsid w:val="00F5666F"/>
    <w:rsid w:val="00F56DE9"/>
    <w:rsid w:val="00F571C0"/>
    <w:rsid w:val="00F64D6C"/>
    <w:rsid w:val="00F655E4"/>
    <w:rsid w:val="00F66318"/>
    <w:rsid w:val="00F7488A"/>
    <w:rsid w:val="00F8215F"/>
    <w:rsid w:val="00F85B9F"/>
    <w:rsid w:val="00F9262A"/>
    <w:rsid w:val="00F95AF3"/>
    <w:rsid w:val="00F97F38"/>
    <w:rsid w:val="00FA0CA3"/>
    <w:rsid w:val="00FA2A56"/>
    <w:rsid w:val="00FA68D8"/>
    <w:rsid w:val="00FB2989"/>
    <w:rsid w:val="00FC391E"/>
    <w:rsid w:val="00FC64F0"/>
    <w:rsid w:val="00FD1A7D"/>
    <w:rsid w:val="00FD21A4"/>
    <w:rsid w:val="00FD3924"/>
    <w:rsid w:val="00FE2A66"/>
    <w:rsid w:val="00FE4EA1"/>
    <w:rsid w:val="00FE55E3"/>
    <w:rsid w:val="00FF60C6"/>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DB011D"/>
  <w15:docId w15:val="{CE359656-EC81-4AA9-9015-42CE014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B1"/>
  </w:style>
  <w:style w:type="paragraph" w:styleId="Heading3">
    <w:name w:val="heading 3"/>
    <w:basedOn w:val="Normal"/>
    <w:next w:val="Normal"/>
    <w:link w:val="Heading3Char"/>
    <w:qFormat/>
    <w:rsid w:val="00C1390E"/>
    <w:pPr>
      <w:keepNext/>
      <w:widowControl w:val="0"/>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0432D"/>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B0432D"/>
    <w:rPr>
      <w:rFonts w:eastAsia="Times New Roman"/>
    </w:rPr>
  </w:style>
  <w:style w:type="character" w:styleId="Hyperlink">
    <w:name w:val="Hyperlink"/>
    <w:basedOn w:val="DefaultParagraphFont"/>
    <w:uiPriority w:val="99"/>
    <w:unhideWhenUsed/>
    <w:rsid w:val="00DF1F0E"/>
    <w:rPr>
      <w:color w:val="0000FF"/>
      <w:u w:val="single"/>
    </w:rPr>
  </w:style>
  <w:style w:type="paragraph" w:customStyle="1" w:styleId="Default">
    <w:name w:val="Default"/>
    <w:rsid w:val="00C1624A"/>
    <w:pPr>
      <w:autoSpaceDE w:val="0"/>
      <w:autoSpaceDN w:val="0"/>
      <w:adjustRightInd w:val="0"/>
    </w:pPr>
    <w:rPr>
      <w:color w:val="000000"/>
      <w:sz w:val="24"/>
      <w:szCs w:val="24"/>
    </w:rPr>
  </w:style>
  <w:style w:type="paragraph" w:styleId="Header">
    <w:name w:val="header"/>
    <w:aliases w:val=" Char,Char"/>
    <w:basedOn w:val="Normal"/>
    <w:link w:val="HeaderChar"/>
    <w:uiPriority w:val="99"/>
    <w:rsid w:val="004A1772"/>
    <w:pPr>
      <w:widowControl w:val="0"/>
      <w:tabs>
        <w:tab w:val="center" w:pos="4320"/>
        <w:tab w:val="right" w:pos="8640"/>
      </w:tabs>
    </w:pPr>
    <w:rPr>
      <w:rFonts w:eastAsia="Times New Roman"/>
    </w:rPr>
  </w:style>
  <w:style w:type="character" w:customStyle="1" w:styleId="HeaderChar">
    <w:name w:val="Header Char"/>
    <w:aliases w:val=" Char Char,Char Char"/>
    <w:basedOn w:val="DefaultParagraphFont"/>
    <w:link w:val="Header"/>
    <w:uiPriority w:val="99"/>
    <w:rsid w:val="004A1772"/>
    <w:rPr>
      <w:rFonts w:eastAsia="Times New Roman"/>
    </w:rPr>
  </w:style>
  <w:style w:type="paragraph" w:styleId="BodyText3">
    <w:name w:val="Body Text 3"/>
    <w:aliases w:val="Body Text 3 Char Char Char"/>
    <w:basedOn w:val="Normal"/>
    <w:link w:val="BodyText3Char"/>
    <w:rsid w:val="004A1772"/>
    <w:pPr>
      <w:widowControl w:val="0"/>
      <w:jc w:val="both"/>
    </w:pPr>
    <w:rPr>
      <w:rFonts w:eastAsia="Times New Roman"/>
    </w:rPr>
  </w:style>
  <w:style w:type="character" w:customStyle="1" w:styleId="BodyText3Char">
    <w:name w:val="Body Text 3 Char"/>
    <w:aliases w:val="Body Text 3 Char Char Char Char"/>
    <w:basedOn w:val="DefaultParagraphFont"/>
    <w:link w:val="BodyText3"/>
    <w:rsid w:val="004A1772"/>
    <w:rPr>
      <w:rFonts w:eastAsia="Times New Roman"/>
    </w:rPr>
  </w:style>
  <w:style w:type="paragraph" w:styleId="BodyText2">
    <w:name w:val="Body Text 2"/>
    <w:basedOn w:val="Normal"/>
    <w:link w:val="BodyText2Char"/>
    <w:rsid w:val="004A1772"/>
    <w:pPr>
      <w:widowControl w:val="0"/>
      <w:spacing w:after="120" w:line="480" w:lineRule="auto"/>
    </w:pPr>
    <w:rPr>
      <w:rFonts w:eastAsia="Times New Roman"/>
    </w:rPr>
  </w:style>
  <w:style w:type="character" w:customStyle="1" w:styleId="BodyText2Char">
    <w:name w:val="Body Text 2 Char"/>
    <w:basedOn w:val="DefaultParagraphFont"/>
    <w:link w:val="BodyText2"/>
    <w:rsid w:val="004A1772"/>
    <w:rPr>
      <w:rFonts w:eastAsia="Times New Roman"/>
    </w:rPr>
  </w:style>
  <w:style w:type="paragraph" w:styleId="BodyText">
    <w:name w:val="Body Text"/>
    <w:basedOn w:val="Normal"/>
    <w:link w:val="BodyTextChar"/>
    <w:rsid w:val="00A65924"/>
    <w:pPr>
      <w:widowControl w:val="0"/>
      <w:spacing w:after="120"/>
    </w:pPr>
    <w:rPr>
      <w:rFonts w:eastAsia="Times New Roman"/>
    </w:rPr>
  </w:style>
  <w:style w:type="character" w:customStyle="1" w:styleId="BodyTextChar">
    <w:name w:val="Body Text Char"/>
    <w:basedOn w:val="DefaultParagraphFont"/>
    <w:link w:val="BodyText"/>
    <w:rsid w:val="00A65924"/>
    <w:rPr>
      <w:rFonts w:eastAsia="Times New Roman"/>
    </w:rPr>
  </w:style>
  <w:style w:type="character" w:customStyle="1" w:styleId="Heading3Char">
    <w:name w:val="Heading 3 Char"/>
    <w:basedOn w:val="DefaultParagraphFont"/>
    <w:link w:val="Heading3"/>
    <w:rsid w:val="00C1390E"/>
    <w:rPr>
      <w:rFonts w:ascii="Arial" w:eastAsia="Times New Roman" w:hAnsi="Arial" w:cs="Arial"/>
      <w:b/>
      <w:bCs/>
      <w:sz w:val="26"/>
      <w:szCs w:val="26"/>
    </w:rPr>
  </w:style>
  <w:style w:type="paragraph" w:styleId="BodyTextIndent3">
    <w:name w:val="Body Text Indent 3"/>
    <w:basedOn w:val="Normal"/>
    <w:link w:val="BodyTextIndent3Char"/>
    <w:rsid w:val="00C1390E"/>
    <w:pPr>
      <w:widowControl w:val="0"/>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1390E"/>
    <w:rPr>
      <w:rFonts w:eastAsia="Times New Roman"/>
      <w:sz w:val="16"/>
      <w:szCs w:val="16"/>
    </w:rPr>
  </w:style>
  <w:style w:type="paragraph" w:styleId="ListParagraph">
    <w:name w:val="List Paragraph"/>
    <w:basedOn w:val="Normal"/>
    <w:uiPriority w:val="34"/>
    <w:qFormat/>
    <w:rsid w:val="001E7DE4"/>
    <w:pPr>
      <w:ind w:left="720"/>
    </w:pPr>
    <w:rPr>
      <w:sz w:val="24"/>
      <w:szCs w:val="24"/>
    </w:rPr>
  </w:style>
  <w:style w:type="paragraph" w:styleId="BalloonText">
    <w:name w:val="Balloon Text"/>
    <w:basedOn w:val="Normal"/>
    <w:link w:val="BalloonTextChar"/>
    <w:uiPriority w:val="99"/>
    <w:semiHidden/>
    <w:unhideWhenUsed/>
    <w:rsid w:val="006005CB"/>
    <w:rPr>
      <w:rFonts w:ascii="Tahoma" w:hAnsi="Tahoma" w:cs="Tahoma"/>
      <w:sz w:val="16"/>
      <w:szCs w:val="16"/>
    </w:rPr>
  </w:style>
  <w:style w:type="character" w:customStyle="1" w:styleId="BalloonTextChar">
    <w:name w:val="Balloon Text Char"/>
    <w:basedOn w:val="DefaultParagraphFont"/>
    <w:link w:val="BalloonText"/>
    <w:uiPriority w:val="99"/>
    <w:semiHidden/>
    <w:rsid w:val="006005CB"/>
    <w:rPr>
      <w:rFonts w:ascii="Tahoma" w:hAnsi="Tahoma" w:cs="Tahoma"/>
      <w:sz w:val="16"/>
      <w:szCs w:val="16"/>
    </w:rPr>
  </w:style>
  <w:style w:type="paragraph" w:styleId="Footer">
    <w:name w:val="footer"/>
    <w:basedOn w:val="Normal"/>
    <w:link w:val="FooterChar"/>
    <w:uiPriority w:val="99"/>
    <w:unhideWhenUsed/>
    <w:rsid w:val="00A07FA5"/>
    <w:pPr>
      <w:tabs>
        <w:tab w:val="center" w:pos="4680"/>
        <w:tab w:val="right" w:pos="9360"/>
      </w:tabs>
    </w:pPr>
  </w:style>
  <w:style w:type="character" w:customStyle="1" w:styleId="FooterChar">
    <w:name w:val="Footer Char"/>
    <w:basedOn w:val="DefaultParagraphFont"/>
    <w:link w:val="Footer"/>
    <w:uiPriority w:val="99"/>
    <w:rsid w:val="00A07FA5"/>
  </w:style>
  <w:style w:type="paragraph" w:styleId="NormalWeb">
    <w:name w:val="Normal (Web)"/>
    <w:basedOn w:val="Normal"/>
    <w:uiPriority w:val="99"/>
    <w:unhideWhenUsed/>
    <w:rsid w:val="00992F75"/>
    <w:pPr>
      <w:spacing w:before="100" w:beforeAutospacing="1" w:after="100" w:afterAutospacing="1"/>
    </w:pPr>
    <w:rPr>
      <w:rFonts w:eastAsia="Times New Roman"/>
      <w:sz w:val="18"/>
      <w:szCs w:val="18"/>
    </w:rPr>
  </w:style>
  <w:style w:type="paragraph" w:styleId="NoSpacing">
    <w:name w:val="No Spacing"/>
    <w:basedOn w:val="Normal"/>
    <w:uiPriority w:val="1"/>
    <w:qFormat/>
    <w:rsid w:val="00AC78B0"/>
    <w:pPr>
      <w:spacing w:before="100" w:beforeAutospacing="1" w:after="100" w:afterAutospacing="1"/>
    </w:pPr>
    <w:rPr>
      <w:rFonts w:eastAsia="Times New Roman"/>
      <w:sz w:val="24"/>
      <w:szCs w:val="24"/>
    </w:rPr>
  </w:style>
  <w:style w:type="character" w:styleId="CommentReference">
    <w:name w:val="annotation reference"/>
    <w:uiPriority w:val="99"/>
    <w:unhideWhenUsed/>
    <w:rsid w:val="00023E5C"/>
    <w:rPr>
      <w:sz w:val="16"/>
      <w:szCs w:val="16"/>
    </w:rPr>
  </w:style>
  <w:style w:type="paragraph" w:styleId="CommentText">
    <w:name w:val="annotation text"/>
    <w:basedOn w:val="Normal"/>
    <w:link w:val="CommentTextChar"/>
    <w:uiPriority w:val="99"/>
    <w:unhideWhenUsed/>
    <w:rsid w:val="00023E5C"/>
    <w:rPr>
      <w:rFonts w:eastAsia="Times New Roman"/>
    </w:rPr>
  </w:style>
  <w:style w:type="character" w:customStyle="1" w:styleId="CommentTextChar">
    <w:name w:val="Comment Text Char"/>
    <w:basedOn w:val="DefaultParagraphFont"/>
    <w:link w:val="CommentText"/>
    <w:uiPriority w:val="99"/>
    <w:rsid w:val="00023E5C"/>
    <w:rPr>
      <w:rFonts w:eastAsia="Times New Roman"/>
    </w:rPr>
  </w:style>
  <w:style w:type="paragraph" w:styleId="CommentSubject">
    <w:name w:val="annotation subject"/>
    <w:basedOn w:val="CommentText"/>
    <w:next w:val="CommentText"/>
    <w:link w:val="CommentSubjectChar"/>
    <w:uiPriority w:val="99"/>
    <w:semiHidden/>
    <w:unhideWhenUsed/>
    <w:rsid w:val="00023E5C"/>
    <w:rPr>
      <w:rFonts w:eastAsia="Calibri"/>
      <w:b/>
      <w:bCs/>
    </w:rPr>
  </w:style>
  <w:style w:type="character" w:customStyle="1" w:styleId="CommentSubjectChar">
    <w:name w:val="Comment Subject Char"/>
    <w:basedOn w:val="CommentTextChar"/>
    <w:link w:val="CommentSubject"/>
    <w:uiPriority w:val="99"/>
    <w:semiHidden/>
    <w:rsid w:val="00023E5C"/>
    <w:rPr>
      <w:rFonts w:eastAsia="Times New Roman"/>
      <w:b/>
      <w:bCs/>
    </w:rPr>
  </w:style>
  <w:style w:type="character" w:styleId="FollowedHyperlink">
    <w:name w:val="FollowedHyperlink"/>
    <w:basedOn w:val="DefaultParagraphFont"/>
    <w:uiPriority w:val="99"/>
    <w:semiHidden/>
    <w:unhideWhenUsed/>
    <w:rsid w:val="00A31A12"/>
    <w:rPr>
      <w:color w:val="800080" w:themeColor="followedHyperlink"/>
      <w:u w:val="single"/>
    </w:rPr>
  </w:style>
  <w:style w:type="paragraph" w:styleId="Revision">
    <w:name w:val="Revision"/>
    <w:hidden/>
    <w:uiPriority w:val="99"/>
    <w:semiHidden/>
    <w:rsid w:val="00242274"/>
  </w:style>
  <w:style w:type="character" w:styleId="UnresolvedMention">
    <w:name w:val="Unresolved Mention"/>
    <w:basedOn w:val="DefaultParagraphFont"/>
    <w:uiPriority w:val="99"/>
    <w:semiHidden/>
    <w:unhideWhenUsed/>
    <w:rsid w:val="00615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6061">
      <w:bodyDiv w:val="1"/>
      <w:marLeft w:val="0"/>
      <w:marRight w:val="0"/>
      <w:marTop w:val="0"/>
      <w:marBottom w:val="0"/>
      <w:divBdr>
        <w:top w:val="none" w:sz="0" w:space="0" w:color="auto"/>
        <w:left w:val="none" w:sz="0" w:space="0" w:color="auto"/>
        <w:bottom w:val="none" w:sz="0" w:space="0" w:color="auto"/>
        <w:right w:val="none" w:sz="0" w:space="0" w:color="auto"/>
      </w:divBdr>
    </w:div>
    <w:div w:id="1466894149">
      <w:bodyDiv w:val="1"/>
      <w:marLeft w:val="0"/>
      <w:marRight w:val="0"/>
      <w:marTop w:val="0"/>
      <w:marBottom w:val="0"/>
      <w:divBdr>
        <w:top w:val="none" w:sz="0" w:space="0" w:color="auto"/>
        <w:left w:val="none" w:sz="0" w:space="0" w:color="auto"/>
        <w:bottom w:val="none" w:sz="0" w:space="0" w:color="auto"/>
        <w:right w:val="none" w:sz="0" w:space="0" w:color="auto"/>
      </w:divBdr>
      <w:divsChild>
        <w:div w:id="1776821506">
          <w:marLeft w:val="0"/>
          <w:marRight w:val="0"/>
          <w:marTop w:val="0"/>
          <w:marBottom w:val="0"/>
          <w:divBdr>
            <w:top w:val="none" w:sz="0" w:space="0" w:color="auto"/>
            <w:left w:val="none" w:sz="0" w:space="0" w:color="auto"/>
            <w:bottom w:val="none" w:sz="0" w:space="0" w:color="auto"/>
            <w:right w:val="none" w:sz="0" w:space="0" w:color="auto"/>
          </w:divBdr>
          <w:divsChild>
            <w:div w:id="1135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egaca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FBF2C71A240B8DA463F8F675F09" ma:contentTypeVersion="13" ma:contentTypeDescription="Create a new document." ma:contentTypeScope="" ma:versionID="5ad3d82dde392240f5c987389986d83e">
  <xsd:schema xmlns:xsd="http://www.w3.org/2001/XMLSchema" xmlns:xs="http://www.w3.org/2001/XMLSchema" xmlns:p="http://schemas.microsoft.com/office/2006/metadata/properties" xmlns:ns2="168c35df-f586-4490-9ac5-d458db691255" xmlns:ns3="598a9e81-8556-4f73-9367-980459c70d2e" targetNamespace="http://schemas.microsoft.com/office/2006/metadata/properties" ma:root="true" ma:fieldsID="8609dab664d4ecca4e1173b8575b142c" ns2:_="" ns3:_="">
    <xsd:import namespace="168c35df-f586-4490-9ac5-d458db691255"/>
    <xsd:import namespace="598a9e81-8556-4f73-9367-980459c70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35df-f586-4490-9ac5-d458db691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a9e81-8556-4f73-9367-980459c70d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a9522d-e384-4dae-9d4c-776ab4fe795c}" ma:internalName="TaxCatchAll" ma:showField="CatchAllData" ma:web="598a9e81-8556-4f73-9367-980459c70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c35df-f586-4490-9ac5-d458db691255">
      <Terms xmlns="http://schemas.microsoft.com/office/infopath/2007/PartnerControls"/>
    </lcf76f155ced4ddcb4097134ff3c332f>
    <TaxCatchAll xmlns="598a9e81-8556-4f73-9367-980459c70d2e" xsi:nil="true"/>
  </documentManagement>
</p:properties>
</file>

<file path=customXml/itemProps1.xml><?xml version="1.0" encoding="utf-8"?>
<ds:datastoreItem xmlns:ds="http://schemas.openxmlformats.org/officeDocument/2006/customXml" ds:itemID="{7386A6F5-4289-4B39-B884-FB84CCE1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35df-f586-4490-9ac5-d458db691255"/>
    <ds:schemaRef ds:uri="598a9e81-8556-4f73-9367-980459c7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0D2FF-04C9-4206-A8F2-7C89B3B91330}">
  <ds:schemaRefs>
    <ds:schemaRef ds:uri="http://schemas.microsoft.com/sharepoint/v3/contenttype/forms"/>
  </ds:schemaRefs>
</ds:datastoreItem>
</file>

<file path=customXml/itemProps3.xml><?xml version="1.0" encoding="utf-8"?>
<ds:datastoreItem xmlns:ds="http://schemas.openxmlformats.org/officeDocument/2006/customXml" ds:itemID="{E1AD663B-98F5-4B0E-A2B6-0B874B402C02}">
  <ds:schemaRefs>
    <ds:schemaRef ds:uri="http://schemas.openxmlformats.org/officeDocument/2006/bibliography"/>
  </ds:schemaRefs>
</ds:datastoreItem>
</file>

<file path=customXml/itemProps4.xml><?xml version="1.0" encoding="utf-8"?>
<ds:datastoreItem xmlns:ds="http://schemas.openxmlformats.org/officeDocument/2006/customXml" ds:itemID="{A4AFFA31-DD00-4E4C-8097-060E35D0918A}">
  <ds:schemaRefs>
    <ds:schemaRef ds:uri="http://schemas.microsoft.com/office/2006/metadata/properties"/>
    <ds:schemaRef ds:uri="http://schemas.microsoft.com/office/infopath/2007/PartnerControls"/>
    <ds:schemaRef ds:uri="168c35df-f586-4490-9ac5-d458db691255"/>
    <ds:schemaRef ds:uri="598a9e81-8556-4f73-9367-980459c70d2e"/>
  </ds:schemaRefs>
</ds:datastoreItem>
</file>

<file path=docMetadata/LabelInfo.xml><?xml version="1.0" encoding="utf-8"?>
<clbl:labelList xmlns:clbl="http://schemas.microsoft.com/office/2020/mipLabelMetadata">
  <clbl:label id="{60436191-a420-448f-b3e5-9d00da0b2a58}" enabled="0" method="" siteId="{60436191-a420-448f-b3e5-9d00da0b2a5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41037</CharactersWithSpaces>
  <SharedDoc>false</SharedDoc>
  <HLinks>
    <vt:vector size="6" baseType="variant">
      <vt:variant>
        <vt:i4>5177415</vt:i4>
      </vt:variant>
      <vt:variant>
        <vt:i4>0</vt:i4>
      </vt:variant>
      <vt:variant>
        <vt:i4>0</vt:i4>
      </vt:variant>
      <vt:variant>
        <vt:i4>5</vt:i4>
      </vt:variant>
      <vt:variant>
        <vt:lpwstr>http://www.omegacap.com/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 Bedell</dc:creator>
  <cp:lastModifiedBy>Omegacap</cp:lastModifiedBy>
  <cp:revision>3</cp:revision>
  <cp:lastPrinted>2020-02-12T17:39:00Z</cp:lastPrinted>
  <dcterms:created xsi:type="dcterms:W3CDTF">2023-03-28T16:41:00Z</dcterms:created>
  <dcterms:modified xsi:type="dcterms:W3CDTF">2023-03-28T16:41:00Z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0x01010098EF1FBF2C71A240B8DA463F8F675F09</vt:lpwstr>
  </property>
  <property fmtid="{D5CDD505-2E9C-101B-9397-08002B2CF9AE}" pid="3" name="Order">
    <vt:r8>890600</vt:r8>
  </property>
  <property fmtid="{D5CDD505-2E9C-101B-9397-08002B2CF9AE}" pid="4" name="MediaServiceImageTags">
    <vt:lpwstr/>
  </property>
</Properties>
</file>